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课程名称：大学生就业21问</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专业类代码：0000</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课程负责人：奉姣</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联系电话：15928691615</w:t>
      </w:r>
    </w:p>
    <w:p>
      <w:pPr>
        <w:spacing w:line="600" w:lineRule="exact"/>
        <w:ind w:right="28" w:firstLine="1280" w:firstLineChars="400"/>
        <w:rPr>
          <w:rFonts w:ascii="仿宋_GB2312" w:hAnsi="黑体" w:eastAsia="黑体"/>
          <w:sz w:val="32"/>
          <w:szCs w:val="36"/>
          <w:u w:val="single"/>
        </w:rPr>
      </w:pPr>
      <w:r>
        <w:rPr>
          <w:rFonts w:hint="eastAsia" w:ascii="黑体" w:hAnsi="黑体" w:eastAsia="黑体"/>
          <w:sz w:val="32"/>
          <w:szCs w:val="36"/>
        </w:rPr>
        <w:t>主要开课平台：智慧树网</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申报学校：西华大学</w:t>
      </w:r>
    </w:p>
    <w:p>
      <w:pPr>
        <w:spacing w:line="600" w:lineRule="exact"/>
        <w:ind w:right="28" w:firstLine="1280" w:firstLineChars="400"/>
        <w:rPr>
          <w:rFonts w:ascii="仿宋_GB2312" w:hAnsi="黑体" w:eastAsia="黑体"/>
          <w:sz w:val="32"/>
          <w:szCs w:val="36"/>
          <w:u w:val="single"/>
        </w:rPr>
      </w:pPr>
      <w:r>
        <w:rPr>
          <w:rFonts w:hint="eastAsia" w:ascii="黑体" w:hAnsi="黑体" w:eastAsia="黑体"/>
          <w:sz w:val="32"/>
          <w:szCs w:val="36"/>
        </w:rPr>
        <w:t>填表日期：2021年5月15日</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单位：西华大学</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hint="eastAsia"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jc w:val="center"/>
              <w:rPr>
                <w:rFonts w:ascii="仿宋_GB2312" w:hAnsi="黑体" w:eastAsia="仿宋_GB2312"/>
                <w:sz w:val="24"/>
                <w:szCs w:val="24"/>
              </w:rPr>
            </w:pPr>
            <w:r>
              <w:rPr>
                <w:rFonts w:hint="eastAsia" w:ascii="仿宋_GB2312" w:hAnsi="黑体" w:eastAsia="仿宋_GB2312"/>
                <w:sz w:val="24"/>
                <w:szCs w:val="24"/>
              </w:rPr>
              <w:t>大学生就业21问</w:t>
            </w: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ascii="Times New Roman" w:hAnsi="Times New Roman" w:eastAsia="宋体" w:cs="Times New Roman"/>
                <w:sz w:val="36"/>
                <w:szCs w:val="36"/>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jc w:val="center"/>
              <w:rPr>
                <w:rFonts w:ascii="仿宋_GB2312" w:hAnsi="黑体" w:eastAsia="仿宋_GB2312"/>
                <w:sz w:val="24"/>
                <w:szCs w:val="24"/>
              </w:rPr>
            </w:pPr>
            <w:r>
              <w:rPr>
                <w:rFonts w:hint="eastAsia" w:ascii="仿宋_GB2312" w:hAnsi="黑体" w:eastAsia="仿宋_GB2312"/>
                <w:sz w:val="24"/>
                <w:szCs w:val="24"/>
              </w:rPr>
              <w:t>奉姣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jc w:val="center"/>
              <w:rPr>
                <w:rFonts w:ascii="仿宋_GB2312" w:eastAsia="仿宋_GB2312" w:hAnsiTheme="majorEastAsia"/>
                <w:sz w:val="24"/>
                <w:szCs w:val="24"/>
              </w:rPr>
            </w:pPr>
            <w:r>
              <w:rPr>
                <w:rFonts w:hint="eastAsia" w:ascii="仿宋_GB2312" w:eastAsia="仿宋_GB2312" w:hAnsiTheme="majorEastAsia"/>
                <w:sz w:val="24"/>
                <w:szCs w:val="24"/>
              </w:rPr>
              <w:t>西华大学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本科生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高校学分认定课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ascii="Times New Roman" w:hAnsi="Times New Roman" w:eastAsia="宋体" w:cs="Times New Roman"/>
                <w:sz w:val="36"/>
                <w:szCs w:val="36"/>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ascii="Times New Roman" w:hAnsi="Times New Roman" w:eastAsia="宋体" w:cs="Times New Roman"/>
                <w:sz w:val="36"/>
                <w:szCs w:val="36"/>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ascii="Times New Roman" w:hAnsi="Times New Roman" w:eastAsia="宋体" w:cs="Times New Roman"/>
                <w:sz w:val="36"/>
                <w:szCs w:val="36"/>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jc w:val="center"/>
              <w:rPr>
                <w:rFonts w:ascii="仿宋_GB2312" w:hAnsi="黑体" w:eastAsia="仿宋_GB2312"/>
                <w:sz w:val="24"/>
                <w:szCs w:val="24"/>
              </w:rPr>
            </w:pPr>
            <w:r>
              <w:rPr>
                <w:rFonts w:hint="eastAsia" w:ascii="仿宋_GB2312" w:hAnsi="黑体" w:eastAsia="仿宋_GB2312"/>
                <w:sz w:val="24"/>
                <w:szCs w:val="24"/>
              </w:rPr>
              <w:t>智慧树网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jc w:val="center"/>
              <w:rPr>
                <w:rFonts w:ascii="仿宋_GB2312" w:hAnsi="黑体" w:eastAsia="仿宋_GB2312"/>
                <w:sz w:val="24"/>
                <w:szCs w:val="24"/>
              </w:rPr>
            </w:pPr>
            <w:r>
              <w:rPr>
                <w:rFonts w:hint="eastAsia" w:ascii="仿宋_GB2312" w:hAnsi="黑体" w:eastAsia="仿宋_GB2312"/>
                <w:sz w:val="24"/>
                <w:szCs w:val="24"/>
              </w:rPr>
              <w:t>https://www.zhihuishu.com/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jc w:val="center"/>
              <w:rPr>
                <w:rFonts w:ascii="仿宋_GB2312" w:hAnsi="黑体" w:eastAsia="仿宋_GB2312"/>
                <w:sz w:val="24"/>
                <w:szCs w:val="24"/>
              </w:rPr>
            </w:pPr>
            <w:r>
              <w:rPr>
                <w:rFonts w:hint="eastAsia" w:ascii="仿宋_GB2312" w:hAnsi="黑体" w:eastAsia="仿宋_GB2312"/>
                <w:sz w:val="24"/>
                <w:szCs w:val="24"/>
              </w:rPr>
              <w:t>智慧树网，2018年12月13日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jc w:val="center"/>
              <w:rPr>
                <w:rFonts w:ascii="仿宋_GB2312" w:hAnsi="黑体" w:eastAsia="仿宋_GB2312"/>
                <w:sz w:val="24"/>
                <w:szCs w:val="24"/>
              </w:rPr>
            </w:pPr>
            <w:r>
              <w:rPr>
                <w:rFonts w:hint="eastAsia" w:ascii="仿宋_GB2312" w:hAnsi="黑体" w:eastAsia="仿宋_GB2312"/>
                <w:sz w:val="24"/>
                <w:szCs w:val="24"/>
              </w:rPr>
              <w:t>完整开设期次：5期</w:t>
            </w:r>
          </w:p>
          <w:p>
            <w:pPr>
              <w:jc w:val="center"/>
              <w:rPr>
                <w:rFonts w:ascii="仿宋_GB2312" w:hAnsi="黑体" w:eastAsia="仿宋_GB2312"/>
                <w:sz w:val="24"/>
                <w:szCs w:val="24"/>
              </w:rPr>
            </w:pPr>
            <w:r>
              <w:rPr>
                <w:rFonts w:hint="eastAsia" w:ascii="仿宋_GB2312" w:hAnsi="黑体" w:eastAsia="仿宋_GB2312"/>
                <w:sz w:val="24"/>
                <w:szCs w:val="24"/>
              </w:rPr>
              <w:t>最近两期开设时间：2021年02月25日-2021年07月02日</w:t>
            </w:r>
          </w:p>
          <w:p>
            <w:pPr>
              <w:jc w:val="center"/>
              <w:rPr>
                <w:rFonts w:ascii="仿宋_GB2312" w:hAnsi="黑体" w:eastAsia="仿宋_GB2312"/>
                <w:sz w:val="24"/>
                <w:szCs w:val="24"/>
              </w:rPr>
            </w:pPr>
            <w:r>
              <w:rPr>
                <w:rFonts w:hint="eastAsia" w:ascii="仿宋_GB2312" w:hAnsi="黑体" w:eastAsia="仿宋_GB2312"/>
                <w:sz w:val="24"/>
                <w:szCs w:val="24"/>
              </w:rPr>
              <w:t xml:space="preserve">                  2020年08月15日-2021年03月01日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jc w:val="center"/>
              <w:rPr>
                <w:rFonts w:ascii="仿宋_GB2312" w:hAnsi="黑体" w:eastAsia="仿宋_GB2312"/>
                <w:sz w:val="24"/>
                <w:szCs w:val="24"/>
              </w:rPr>
            </w:pPr>
            <w:r>
              <w:rPr>
                <w:rFonts w:hint="eastAsia" w:ascii="仿宋_GB2312" w:hAnsi="黑体" w:eastAsia="仿宋_GB2312"/>
                <w:sz w:val="24"/>
                <w:szCs w:val="24"/>
              </w:rPr>
              <w:t>https://coursehome.zhihuishu.com/courseHome/1000007553#teachTeam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hint="default" w:ascii="仿宋_GB2312" w:hAnsi="黑体" w:eastAsia="仿宋_GB2312"/>
                <w:sz w:val="24"/>
                <w:szCs w:val="24"/>
                <w:lang w:val="en-US" w:eastAsia="zh-CN"/>
              </w:rPr>
            </w:pPr>
            <w:r>
              <w:rPr>
                <w:rFonts w:hint="eastAsia" w:ascii="仿宋_GB2312" w:hAnsi="仿宋_GB2312" w:eastAsia="仿宋_GB2312" w:cs="仿宋_GB2312"/>
                <w:sz w:val="24"/>
                <w:szCs w:val="24"/>
                <w:highlight w:val="none"/>
              </w:rPr>
              <w:t>《大学生就业指导》（慕课版），</w:t>
            </w:r>
            <w:r>
              <w:rPr>
                <w:rFonts w:hint="eastAsia" w:ascii="仿宋_GB2312" w:hAnsi="仿宋_GB2312" w:eastAsia="仿宋_GB2312" w:cs="仿宋_GB2312"/>
                <w:sz w:val="24"/>
                <w:szCs w:val="24"/>
                <w:highlight w:val="none"/>
                <w:lang w:val="en-US" w:eastAsia="zh-CN"/>
              </w:rPr>
              <w:t>9787115500717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杨洪、秦晓燕，人民邮电出版社，2019.11.01</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22"/>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10"/>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310"/>
        <w:gridCol w:w="119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11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奉姣</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1988.11</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西华大学</w:t>
            </w:r>
          </w:p>
        </w:tc>
        <w:tc>
          <w:tcPr>
            <w:tcW w:w="11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学工办主任</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讲师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15928691615</w:t>
            </w:r>
          </w:p>
        </w:tc>
        <w:tc>
          <w:tcPr>
            <w:tcW w:w="825" w:type="dxa"/>
            <w:vAlign w:val="center"/>
          </w:tcPr>
          <w:p>
            <w:pPr>
              <w:jc w:val="center"/>
              <w:rPr>
                <w:rFonts w:ascii="仿宋_GB2312" w:hAnsi="黑体" w:eastAsia="仿宋_GB2312"/>
                <w:sz w:val="24"/>
                <w:szCs w:val="24"/>
              </w:rPr>
            </w:pPr>
            <w:r>
              <w:rPr>
                <w:rFonts w:ascii="微软雅黑" w:hAnsi="微软雅黑" w:eastAsia="微软雅黑" w:cs="微软雅黑"/>
                <w:color w:val="333333"/>
                <w:sz w:val="16"/>
                <w:szCs w:val="16"/>
              </w:rPr>
              <w:t>0720140022@mail.xhu.edu.cn</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课程总策划、主讲教师</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奉姣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刘凤丽</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1981.09</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西华大学</w:t>
            </w:r>
          </w:p>
        </w:tc>
        <w:tc>
          <w:tcPr>
            <w:tcW w:w="11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学工办主任</w:t>
            </w:r>
          </w:p>
        </w:tc>
        <w:tc>
          <w:tcPr>
            <w:tcW w:w="78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讲师</w:t>
            </w:r>
          </w:p>
        </w:tc>
        <w:tc>
          <w:tcPr>
            <w:tcW w:w="76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15882447846</w:t>
            </w:r>
          </w:p>
        </w:tc>
        <w:tc>
          <w:tcPr>
            <w:tcW w:w="82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23128695@qq.com</w:t>
            </w:r>
          </w:p>
        </w:tc>
        <w:tc>
          <w:tcPr>
            <w:tcW w:w="96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主讲教师</w:t>
            </w:r>
          </w:p>
        </w:tc>
        <w:tc>
          <w:tcPr>
            <w:tcW w:w="99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刘凤丽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杨  洪</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1972.09</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西华大学</w:t>
            </w:r>
          </w:p>
        </w:tc>
        <w:tc>
          <w:tcPr>
            <w:tcW w:w="1190" w:type="dxa"/>
            <w:vAlign w:val="center"/>
          </w:tcPr>
          <w:p>
            <w:pPr>
              <w:spacing w:line="360" w:lineRule="auto"/>
              <w:rPr>
                <w:rFonts w:ascii="仿宋" w:hAnsi="仿宋" w:eastAsia="仿宋" w:cs="仿宋"/>
                <w:szCs w:val="21"/>
              </w:rPr>
            </w:pPr>
            <w:r>
              <w:rPr>
                <w:rFonts w:hint="eastAsia" w:ascii="仿宋" w:hAnsi="仿宋" w:eastAsia="仿宋" w:cs="仿宋"/>
                <w:szCs w:val="21"/>
              </w:rPr>
              <w:t>招生与就业处副处长</w:t>
            </w:r>
          </w:p>
        </w:tc>
        <w:tc>
          <w:tcPr>
            <w:tcW w:w="78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副研究员</w:t>
            </w:r>
          </w:p>
        </w:tc>
        <w:tc>
          <w:tcPr>
            <w:tcW w:w="76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13981899060</w:t>
            </w:r>
          </w:p>
        </w:tc>
        <w:tc>
          <w:tcPr>
            <w:tcW w:w="82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243419031@qq.com</w:t>
            </w:r>
          </w:p>
        </w:tc>
        <w:tc>
          <w:tcPr>
            <w:tcW w:w="96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课程顾问</w:t>
            </w:r>
          </w:p>
        </w:tc>
        <w:tc>
          <w:tcPr>
            <w:tcW w:w="99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杨洪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苏文明</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1983.11</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西华大学</w:t>
            </w:r>
          </w:p>
        </w:tc>
        <w:tc>
          <w:tcPr>
            <w:tcW w:w="11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科长</w:t>
            </w:r>
          </w:p>
        </w:tc>
        <w:tc>
          <w:tcPr>
            <w:tcW w:w="78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副教授</w:t>
            </w:r>
          </w:p>
        </w:tc>
        <w:tc>
          <w:tcPr>
            <w:tcW w:w="76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13540855785</w:t>
            </w:r>
          </w:p>
        </w:tc>
        <w:tc>
          <w:tcPr>
            <w:tcW w:w="82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94457039@qq.com</w:t>
            </w:r>
          </w:p>
        </w:tc>
        <w:tc>
          <w:tcPr>
            <w:tcW w:w="96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课程顾问</w:t>
            </w:r>
          </w:p>
        </w:tc>
        <w:tc>
          <w:tcPr>
            <w:tcW w:w="99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苏文明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刘秀丽</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1981.11</w:t>
            </w:r>
          </w:p>
        </w:tc>
        <w:tc>
          <w:tcPr>
            <w:tcW w:w="13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西华大学</w:t>
            </w:r>
          </w:p>
        </w:tc>
        <w:tc>
          <w:tcPr>
            <w:tcW w:w="119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学工办主任</w:t>
            </w:r>
          </w:p>
        </w:tc>
        <w:tc>
          <w:tcPr>
            <w:tcW w:w="78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讲师</w:t>
            </w:r>
          </w:p>
        </w:tc>
        <w:tc>
          <w:tcPr>
            <w:tcW w:w="76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18615790632</w:t>
            </w:r>
          </w:p>
        </w:tc>
        <w:tc>
          <w:tcPr>
            <w:tcW w:w="82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51077799@qq.com</w:t>
            </w:r>
          </w:p>
        </w:tc>
        <w:tc>
          <w:tcPr>
            <w:tcW w:w="96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课件整理</w:t>
            </w:r>
          </w:p>
        </w:tc>
        <w:tc>
          <w:tcPr>
            <w:tcW w:w="994"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刘秀丽</w:t>
            </w:r>
          </w:p>
        </w:tc>
      </w:tr>
    </w:tbl>
    <w:p>
      <w:pPr>
        <w:rPr>
          <w:rFonts w:ascii="仿宋_GB2312" w:eastAsia="仿宋_GB2312"/>
          <w:sz w:val="24"/>
          <w:szCs w:val="24"/>
        </w:rPr>
      </w:pP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185"/>
        <w:gridCol w:w="1129"/>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1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1129"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吴薇莉</w:t>
            </w:r>
          </w:p>
        </w:tc>
        <w:tc>
          <w:tcPr>
            <w:tcW w:w="1215" w:type="dxa"/>
            <w:vAlign w:val="center"/>
          </w:tcPr>
          <w:p>
            <w:pPr>
              <w:spacing w:line="36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1967.07</w:t>
            </w:r>
          </w:p>
        </w:tc>
        <w:tc>
          <w:tcPr>
            <w:tcW w:w="118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西华大学</w:t>
            </w:r>
          </w:p>
        </w:tc>
        <w:tc>
          <w:tcPr>
            <w:tcW w:w="1129"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教师</w:t>
            </w:r>
          </w:p>
        </w:tc>
        <w:tc>
          <w:tcPr>
            <w:tcW w:w="80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教授</w:t>
            </w:r>
          </w:p>
        </w:tc>
        <w:tc>
          <w:tcPr>
            <w:tcW w:w="142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课程学术顾问</w:t>
            </w:r>
          </w:p>
        </w:tc>
        <w:tc>
          <w:tcPr>
            <w:tcW w:w="1472"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吴薇莉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张文静</w:t>
            </w:r>
          </w:p>
        </w:tc>
        <w:tc>
          <w:tcPr>
            <w:tcW w:w="1215" w:type="dxa"/>
            <w:vAlign w:val="center"/>
          </w:tcPr>
          <w:p>
            <w:pPr>
              <w:spacing w:line="36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1987.01</w:t>
            </w:r>
          </w:p>
        </w:tc>
        <w:tc>
          <w:tcPr>
            <w:tcW w:w="118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西华大学</w:t>
            </w:r>
          </w:p>
        </w:tc>
        <w:tc>
          <w:tcPr>
            <w:tcW w:w="1129"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学工办主任</w:t>
            </w:r>
          </w:p>
        </w:tc>
        <w:tc>
          <w:tcPr>
            <w:tcW w:w="80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讲师</w:t>
            </w:r>
          </w:p>
        </w:tc>
        <w:tc>
          <w:tcPr>
            <w:tcW w:w="142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课件整理</w:t>
            </w:r>
          </w:p>
        </w:tc>
        <w:tc>
          <w:tcPr>
            <w:tcW w:w="1472"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张文静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秦  婷</w:t>
            </w:r>
          </w:p>
        </w:tc>
        <w:tc>
          <w:tcPr>
            <w:tcW w:w="1215" w:type="dxa"/>
            <w:vAlign w:val="center"/>
          </w:tcPr>
          <w:p>
            <w:pPr>
              <w:spacing w:line="36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1989.03</w:t>
            </w:r>
          </w:p>
        </w:tc>
        <w:tc>
          <w:tcPr>
            <w:tcW w:w="118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西华大学</w:t>
            </w:r>
          </w:p>
        </w:tc>
        <w:tc>
          <w:tcPr>
            <w:tcW w:w="1129"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学工办主任</w:t>
            </w:r>
          </w:p>
        </w:tc>
        <w:tc>
          <w:tcPr>
            <w:tcW w:w="80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讲师</w:t>
            </w:r>
          </w:p>
        </w:tc>
        <w:tc>
          <w:tcPr>
            <w:tcW w:w="1428"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课件整理</w:t>
            </w:r>
          </w:p>
        </w:tc>
        <w:tc>
          <w:tcPr>
            <w:tcW w:w="1472"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秦婷</w:t>
            </w:r>
          </w:p>
        </w:tc>
      </w:tr>
    </w:tbl>
    <w:p>
      <w:pPr>
        <w:rPr>
          <w:sz w:val="24"/>
          <w:szCs w:val="24"/>
        </w:rPr>
      </w:pP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1、</w:t>
            </w:r>
            <w:r>
              <w:rPr>
                <w:rFonts w:ascii="Times New Roman" w:hAnsi="Times New Roman" w:eastAsia="仿宋_GB2312" w:cs="Times New Roman"/>
                <w:b/>
                <w:bCs/>
                <w:sz w:val="24"/>
                <w:szCs w:val="24"/>
              </w:rPr>
              <w:t>承担教学</w:t>
            </w:r>
            <w:r>
              <w:rPr>
                <w:rFonts w:hint="eastAsia" w:ascii="Times New Roman" w:hAnsi="Times New Roman" w:eastAsia="仿宋_GB2312" w:cs="Times New Roman"/>
                <w:b/>
                <w:bCs/>
                <w:sz w:val="24"/>
                <w:szCs w:val="24"/>
              </w:rPr>
              <w:t>任务</w:t>
            </w:r>
          </w:p>
          <w:p>
            <w:pPr>
              <w:spacing w:line="360" w:lineRule="auto"/>
              <w:ind w:firstLine="480" w:firstLineChars="200"/>
              <w:rPr>
                <w:rFonts w:ascii="Times New Roman" w:hAnsi="Times New Roman" w:eastAsia="仿宋_GB2312" w:cs="Times New Roman"/>
                <w:sz w:val="24"/>
                <w:szCs w:val="24"/>
                <w:highlight w:val="yellow"/>
              </w:rPr>
            </w:pPr>
            <w:r>
              <w:rPr>
                <w:rFonts w:hint="eastAsia" w:ascii="Times New Roman" w:hAnsi="Times New Roman" w:eastAsia="仿宋_GB2312" w:cs="Times New Roman"/>
                <w:sz w:val="24"/>
                <w:szCs w:val="24"/>
              </w:rPr>
              <w:t>2018年课程上线至今，课程负责人和团队成员共承担《大学生就业21问》线上课程的教学任务，一方面积极维护课程运行，认真开展线上见面直播课程，另一方面，与学生在线上进行互动和交流，定期分析学情，组织学生参与线上课程学习，在线学生达8.8万余人。近五年在校内承担《大学生就业及创业指导》《大学生职业生涯发展规划》的线下课程教学，平均每学年共授课80学时，覆盖校内3973名学生。</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2、</w:t>
            </w:r>
            <w:r>
              <w:rPr>
                <w:rFonts w:ascii="Times New Roman" w:hAnsi="Times New Roman" w:eastAsia="仿宋_GB2312" w:cs="Times New Roman"/>
                <w:b/>
                <w:bCs/>
                <w:sz w:val="24"/>
                <w:szCs w:val="24"/>
              </w:rPr>
              <w:t>积极开展教学研究与实践</w:t>
            </w:r>
          </w:p>
          <w:p>
            <w:pPr>
              <w:spacing w:line="360" w:lineRule="auto"/>
              <w:ind w:firstLine="480" w:firstLineChars="200"/>
              <w:rPr>
                <w:rFonts w:ascii="Times New Roman" w:hAnsi="Times New Roman" w:cs="Times New Roman"/>
                <w:sz w:val="24"/>
                <w:szCs w:val="24"/>
              </w:rPr>
            </w:pPr>
            <w:r>
              <w:rPr>
                <w:rFonts w:ascii="Times New Roman" w:hAnsi="Times New Roman" w:eastAsia="仿宋_GB2312" w:cs="Times New Roman"/>
                <w:sz w:val="24"/>
                <w:szCs w:val="24"/>
              </w:rPr>
              <w:t xml:space="preserve"> </w:t>
            </w:r>
            <w:r>
              <w:rPr>
                <w:rFonts w:hint="eastAsia" w:ascii="Times New Roman" w:hAnsi="Times New Roman" w:eastAsia="仿宋_GB2312" w:cs="Times New Roman"/>
                <w:sz w:val="24"/>
                <w:szCs w:val="24"/>
              </w:rPr>
              <w:t>出版教材《大学生就业指导（慕课版）》《积极心理与大学生活》A类教材2本，承担教育部产学合作项目《新工科背景下大学生就业指导混合式课程建设》《大学生就业能力提升实训平台研究与建设》共2项，省部级平台开放课题《大健康人才供给侧结构现状与对策研究》、校级教改项目《基于供给侧改革实现大学毕业生高效就业的研究与实践》《实现高校毕业生“更高质量和更充分就业”研究》等3项；发表教改论文10余篇。</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3、</w:t>
            </w:r>
            <w:r>
              <w:rPr>
                <w:rFonts w:ascii="Times New Roman" w:hAnsi="Times New Roman" w:eastAsia="仿宋_GB2312" w:cs="Times New Roman"/>
                <w:b/>
                <w:bCs/>
                <w:sz w:val="24"/>
                <w:szCs w:val="24"/>
              </w:rPr>
              <w:t>获奖</w:t>
            </w:r>
            <w:r>
              <w:rPr>
                <w:rFonts w:hint="eastAsia" w:ascii="Times New Roman" w:hAnsi="Times New Roman" w:eastAsia="仿宋_GB2312" w:cs="Times New Roman"/>
                <w:b/>
                <w:bCs/>
                <w:sz w:val="24"/>
                <w:szCs w:val="24"/>
              </w:rPr>
              <w:t>情况</w:t>
            </w:r>
          </w:p>
          <w:p>
            <w:pPr>
              <w:spacing w:line="360" w:lineRule="auto"/>
              <w:ind w:firstLine="480" w:firstLineChars="200"/>
              <w:rPr>
                <w:rFonts w:ascii="仿宋_GB2312" w:hAnsi="仿宋" w:eastAsia="仿宋_GB2312"/>
                <w:sz w:val="24"/>
                <w:szCs w:val="24"/>
              </w:rPr>
            </w:pPr>
            <w:r>
              <w:rPr>
                <w:rFonts w:hint="eastAsia" w:ascii="Times New Roman" w:hAnsi="Times New Roman" w:eastAsia="仿宋_GB2312" w:cs="Times New Roman"/>
                <w:sz w:val="24"/>
                <w:szCs w:val="24"/>
              </w:rPr>
              <w:t>2019年课程获四川省在线开放精品课程认定；2019年获四川省首届大学生职业发展与就业指导课程教学大赛中荣获二等奖1次；2020年获西华大学教学成果奖一等奖1项、2016年获西华大学教学成果奖三等奖1项；2019年-2021年获西华大学大学生职业发展与就业指导课程教学大赛中荣获一等奖2项、二等奖1项；2020年获西华大学心理健康讲课比赛三等奖1项等。</w:t>
            </w: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94"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Times New Roman" w:hAnsi="Times New Roman" w:eastAsia="仿宋_GB2312" w:cs="Times New Roman"/>
                <w:color w:val="000000"/>
                <w:sz w:val="24"/>
                <w:szCs w:val="24"/>
              </w:rPr>
              <w:t>求职OMG                        ——大学生就业指导与技能开发</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辛远征</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中国海洋大学</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爱课程(中国大学MOOC)</w:t>
            </w:r>
          </w:p>
        </w:tc>
        <w:tc>
          <w:tcPr>
            <w:tcW w:w="3919" w:type="dxa"/>
            <w:tcBorders>
              <w:top w:val="single" w:color="auto" w:sz="4" w:space="0"/>
              <w:left w:val="single" w:color="auto" w:sz="4" w:space="0"/>
              <w:bottom w:val="single" w:color="auto" w:sz="4" w:space="0"/>
            </w:tcBorders>
            <w:vAlign w:val="center"/>
          </w:tcPr>
          <w:p>
            <w:pPr>
              <w:pStyle w:val="7"/>
              <w:widowControl/>
              <w:shd w:val="clear" w:color="auto" w:fill="FFFFFF"/>
              <w:spacing w:beforeAutospacing="0" w:afterAutospacing="0"/>
              <w:ind w:firstLine="480" w:firstLineChars="200"/>
              <w:jc w:val="center"/>
              <w:rPr>
                <w:rFonts w:ascii="Helvetica" w:hAnsi="Helvetica" w:eastAsia="Helvetica" w:cs="Helvetica"/>
                <w:color w:val="666666"/>
                <w:sz w:val="14"/>
                <w:szCs w:val="14"/>
                <w:shd w:val="clear" w:color="auto" w:fill="FFFFFF"/>
              </w:rPr>
            </w:pPr>
            <w:r>
              <w:rPr>
                <w:rFonts w:hint="eastAsia" w:ascii="仿宋_GB2312" w:eastAsia="仿宋_GB2312" w:cstheme="minorBidi"/>
                <w:kern w:val="2"/>
                <w:szCs w:val="24"/>
              </w:rPr>
              <w:t>课程优点是用原创的OMG求职法贯穿始终，</w:t>
            </w:r>
            <w:r>
              <w:rPr>
                <w:rFonts w:ascii="仿宋_GB2312" w:eastAsia="仿宋_GB2312" w:cstheme="minorBidi"/>
                <w:kern w:val="2"/>
                <w:szCs w:val="24"/>
              </w:rPr>
              <w:t>以原创情景剧展示学生求职中的困惑，</w:t>
            </w:r>
            <w:r>
              <w:rPr>
                <w:rFonts w:hint="eastAsia" w:ascii="仿宋_GB2312" w:eastAsia="仿宋_GB2312" w:cstheme="minorBidi"/>
                <w:kern w:val="2"/>
                <w:szCs w:val="24"/>
              </w:rPr>
              <w:t>用学生熟悉的语言和影视剧片段提升课程的趣味性，用职场访谈的方式让职场人现身说法，</w:t>
            </w:r>
            <w:r>
              <w:rPr>
                <w:rFonts w:ascii="仿宋_GB2312" w:eastAsia="仿宋_GB2312" w:cstheme="minorBidi"/>
                <w:kern w:val="2"/>
                <w:szCs w:val="24"/>
              </w:rPr>
              <w:t>以分析招聘环节设计原理告知学生“其所以然”，启发学生的思考，激发自主学习。</w:t>
            </w:r>
            <w:r>
              <w:rPr>
                <w:rFonts w:hint="eastAsia" w:ascii="仿宋_GB2312" w:eastAsia="仿宋_GB2312" w:cstheme="minorBidi"/>
                <w:kern w:val="2"/>
                <w:szCs w:val="24"/>
              </w:rPr>
              <w:t>求职技巧性训练充分，课程生动有趣。缺点是注重求职的技巧性训练，在帮助学生进行自我探索方面的内容较少。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职熵                              ——大学生职业素养与能力提升</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曹娟</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中国海洋大学</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rPr>
              <w:t>爱课程(中国大学MOOC)</w:t>
            </w:r>
          </w:p>
        </w:tc>
        <w:tc>
          <w:tcPr>
            <w:tcW w:w="3919" w:type="dxa"/>
            <w:tcBorders>
              <w:top w:val="single" w:color="auto" w:sz="4" w:space="0"/>
              <w:left w:val="single" w:color="auto" w:sz="4" w:space="0"/>
              <w:bottom w:val="single" w:color="auto" w:sz="4" w:space="0"/>
            </w:tcBorders>
            <w:vAlign w:val="center"/>
          </w:tcPr>
          <w:p>
            <w:pPr>
              <w:ind w:firstLine="480" w:firstLineChars="200"/>
              <w:jc w:val="center"/>
            </w:pPr>
            <w:r>
              <w:rPr>
                <w:rFonts w:hint="eastAsia" w:ascii="仿宋_GB2312" w:eastAsia="仿宋_GB2312"/>
                <w:sz w:val="24"/>
                <w:szCs w:val="24"/>
              </w:rPr>
              <w:t>课程优点是帮助学生在进入广泛职业环境前，通过学习训练不断转化、减少应对职场的困惑与压力，以体验训练和相应理论引导、渗透，提升职业素养能力水平，为社会组织输送职业素养意识更接轨、职业能力更匹配、对应的“准职业人”，为学生进入职场前做好能力提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vAlign w:val="center"/>
          </w:tcPr>
          <w:p>
            <w:pPr>
              <w:jc w:val="center"/>
              <w:rPr>
                <w:rFonts w:hint="eastAsia" w:ascii="仿宋_GB2312" w:eastAsia="仿宋_GB2312"/>
                <w:sz w:val="24"/>
                <w:szCs w:val="24"/>
                <w:lang w:eastAsia="zh-CN"/>
              </w:rPr>
            </w:pPr>
            <w:r>
              <w:rPr>
                <w:rFonts w:hint="eastAsia" w:ascii="仿宋_GB2312" w:eastAsia="仿宋_GB2312"/>
                <w:sz w:val="24"/>
                <w:szCs w:val="24"/>
                <w:lang w:val="en-US"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大学生涯规划与职业发展</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魏超</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武汉理工大学</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爱课程(中国大学MOOC)</w:t>
            </w:r>
          </w:p>
        </w:tc>
        <w:tc>
          <w:tcPr>
            <w:tcW w:w="3919" w:type="dxa"/>
            <w:tcBorders>
              <w:top w:val="single" w:color="auto" w:sz="4" w:space="0"/>
              <w:left w:val="single" w:color="auto" w:sz="4" w:space="0"/>
              <w:bottom w:val="single" w:color="auto" w:sz="4" w:space="0"/>
            </w:tcBorders>
            <w:vAlign w:val="center"/>
          </w:tcPr>
          <w:p>
            <w:pPr>
              <w:ind w:firstLine="480" w:firstLineChars="200"/>
              <w:jc w:val="center"/>
              <w:rPr>
                <w:rFonts w:ascii="仿宋_GB2312" w:eastAsia="仿宋_GB2312"/>
                <w:sz w:val="24"/>
                <w:szCs w:val="24"/>
              </w:rPr>
            </w:pPr>
            <w:r>
              <w:rPr>
                <w:rFonts w:hint="eastAsia" w:ascii="仿宋_GB2312" w:eastAsia="仿宋_GB2312"/>
                <w:sz w:val="24"/>
                <w:szCs w:val="24"/>
              </w:rPr>
              <w:t>课程</w:t>
            </w:r>
            <w:r>
              <w:rPr>
                <w:rFonts w:ascii="仿宋_GB2312" w:eastAsia="仿宋_GB2312"/>
                <w:sz w:val="24"/>
                <w:szCs w:val="24"/>
              </w:rPr>
              <w:t>优点</w:t>
            </w:r>
            <w:r>
              <w:rPr>
                <w:rFonts w:hint="eastAsia" w:ascii="仿宋_GB2312" w:eastAsia="仿宋_GB2312"/>
                <w:sz w:val="24"/>
                <w:szCs w:val="24"/>
              </w:rPr>
              <w:t>是</w:t>
            </w:r>
            <w:r>
              <w:rPr>
                <w:rFonts w:ascii="仿宋_GB2312" w:eastAsia="仿宋_GB2312"/>
                <w:sz w:val="24"/>
                <w:szCs w:val="24"/>
              </w:rPr>
              <w:t>帮助大学生明确大学阶段的学习生活和未来职业发展的关系，帮助学生更科学</w:t>
            </w:r>
            <w:r>
              <w:rPr>
                <w:rFonts w:hint="eastAsia" w:ascii="仿宋_GB2312" w:eastAsia="仿宋_GB2312"/>
                <w:sz w:val="24"/>
                <w:szCs w:val="24"/>
              </w:rPr>
              <w:t>地</w:t>
            </w:r>
            <w:r>
              <w:rPr>
                <w:rFonts w:ascii="仿宋_GB2312" w:eastAsia="仿宋_GB2312"/>
                <w:sz w:val="24"/>
                <w:szCs w:val="24"/>
              </w:rPr>
              <w:t>进行自我认知</w:t>
            </w:r>
            <w:r>
              <w:rPr>
                <w:rFonts w:hint="eastAsia" w:ascii="仿宋_GB2312" w:eastAsia="仿宋_GB2312"/>
                <w:sz w:val="24"/>
                <w:szCs w:val="24"/>
              </w:rPr>
              <w:t>、更</w:t>
            </w:r>
            <w:r>
              <w:rPr>
                <w:rFonts w:ascii="仿宋_GB2312" w:eastAsia="仿宋_GB2312"/>
                <w:sz w:val="24"/>
                <w:szCs w:val="24"/>
              </w:rPr>
              <w:t>全面地</w:t>
            </w:r>
            <w:r>
              <w:rPr>
                <w:rFonts w:hint="eastAsia" w:ascii="仿宋_GB2312" w:eastAsia="仿宋_GB2312"/>
                <w:sz w:val="24"/>
                <w:szCs w:val="24"/>
              </w:rPr>
              <w:t>探索</w:t>
            </w:r>
            <w:r>
              <w:rPr>
                <w:rFonts w:ascii="仿宋_GB2312" w:eastAsia="仿宋_GB2312"/>
                <w:sz w:val="24"/>
                <w:szCs w:val="24"/>
              </w:rPr>
              <w:t>工作世界，</w:t>
            </w:r>
            <w:r>
              <w:rPr>
                <w:rFonts w:hint="eastAsia" w:ascii="仿宋_GB2312" w:eastAsia="仿宋_GB2312"/>
                <w:sz w:val="24"/>
                <w:szCs w:val="24"/>
              </w:rPr>
              <w:t>让学生</w:t>
            </w:r>
            <w:r>
              <w:rPr>
                <w:rFonts w:ascii="仿宋_GB2312" w:eastAsia="仿宋_GB2312"/>
                <w:sz w:val="24"/>
                <w:szCs w:val="24"/>
              </w:rPr>
              <w:t>掌握科学决策</w:t>
            </w:r>
            <w:r>
              <w:rPr>
                <w:rFonts w:hint="eastAsia" w:ascii="仿宋_GB2312" w:eastAsia="仿宋_GB2312"/>
                <w:sz w:val="24"/>
                <w:szCs w:val="24"/>
              </w:rPr>
              <w:t>的方法</w:t>
            </w:r>
            <w:r>
              <w:rPr>
                <w:rFonts w:ascii="仿宋_GB2312" w:eastAsia="仿宋_GB2312"/>
                <w:sz w:val="24"/>
                <w:szCs w:val="24"/>
              </w:rPr>
              <w:t>，激发大学生</w:t>
            </w:r>
            <w:r>
              <w:rPr>
                <w:rFonts w:hint="eastAsia" w:ascii="仿宋_GB2312" w:eastAsia="仿宋_GB2312"/>
                <w:sz w:val="24"/>
                <w:szCs w:val="24"/>
              </w:rPr>
              <w:t>职业</w:t>
            </w:r>
            <w:r>
              <w:rPr>
                <w:rFonts w:ascii="仿宋_GB2312" w:eastAsia="仿宋_GB2312"/>
                <w:sz w:val="24"/>
                <w:szCs w:val="24"/>
              </w:rPr>
              <w:t>生涯</w:t>
            </w:r>
            <w:r>
              <w:rPr>
                <w:rFonts w:hint="eastAsia" w:ascii="仿宋_GB2312" w:eastAsia="仿宋_GB2312"/>
                <w:sz w:val="24"/>
                <w:szCs w:val="24"/>
              </w:rPr>
              <w:t>发展</w:t>
            </w:r>
            <w:r>
              <w:rPr>
                <w:rFonts w:ascii="仿宋_GB2312" w:eastAsia="仿宋_GB2312"/>
                <w:sz w:val="24"/>
                <w:szCs w:val="24"/>
              </w:rPr>
              <w:t>的</w:t>
            </w:r>
            <w:r>
              <w:rPr>
                <w:rFonts w:hint="eastAsia" w:ascii="仿宋_GB2312" w:eastAsia="仿宋_GB2312"/>
                <w:sz w:val="24"/>
                <w:szCs w:val="24"/>
              </w:rPr>
              <w:t>自主</w:t>
            </w:r>
            <w:r>
              <w:rPr>
                <w:rFonts w:ascii="仿宋_GB2312" w:eastAsia="仿宋_GB2312"/>
                <w:sz w:val="24"/>
                <w:szCs w:val="24"/>
              </w:rPr>
              <w:t>意识、树立正确的就业观</w:t>
            </w:r>
            <w:r>
              <w:rPr>
                <w:rFonts w:hint="eastAsia" w:ascii="仿宋_GB2312" w:eastAsia="仿宋_GB2312"/>
                <w:sz w:val="24"/>
                <w:szCs w:val="24"/>
              </w:rPr>
              <w:t>，</w:t>
            </w:r>
            <w:r>
              <w:rPr>
                <w:rFonts w:ascii="仿宋_GB2312" w:eastAsia="仿宋_GB2312"/>
                <w:sz w:val="24"/>
                <w:szCs w:val="24"/>
              </w:rPr>
              <w:t>唤起</w:t>
            </w:r>
            <w:r>
              <w:rPr>
                <w:rFonts w:hint="eastAsia" w:ascii="仿宋_GB2312" w:eastAsia="仿宋_GB2312"/>
                <w:sz w:val="24"/>
                <w:szCs w:val="24"/>
              </w:rPr>
              <w:t>学生</w:t>
            </w:r>
            <w:r>
              <w:rPr>
                <w:rFonts w:ascii="仿宋_GB2312" w:eastAsia="仿宋_GB2312"/>
                <w:sz w:val="24"/>
                <w:szCs w:val="24"/>
              </w:rPr>
              <w:t>的职业规划意识</w:t>
            </w:r>
            <w:r>
              <w:rPr>
                <w:rFonts w:hint="eastAsia" w:ascii="仿宋_GB2312" w:eastAsia="仿宋_GB2312"/>
                <w:sz w:val="24"/>
                <w:szCs w:val="24"/>
              </w:rPr>
              <w:t>，促进</w:t>
            </w:r>
            <w:r>
              <w:rPr>
                <w:rFonts w:ascii="仿宋_GB2312" w:eastAsia="仿宋_GB2312"/>
                <w:sz w:val="24"/>
                <w:szCs w:val="24"/>
              </w:rPr>
              <w:t>大学生重视大学阶段的</w:t>
            </w:r>
            <w:r>
              <w:rPr>
                <w:rFonts w:hint="eastAsia" w:ascii="仿宋_GB2312" w:eastAsia="仿宋_GB2312"/>
                <w:sz w:val="24"/>
                <w:szCs w:val="24"/>
              </w:rPr>
              <w:t>学习</w:t>
            </w:r>
            <w:r>
              <w:rPr>
                <w:rFonts w:ascii="仿宋_GB2312" w:eastAsia="仿宋_GB2312"/>
                <w:sz w:val="24"/>
                <w:szCs w:val="24"/>
              </w:rPr>
              <w:t>生活</w:t>
            </w:r>
            <w:r>
              <w:rPr>
                <w:rFonts w:hint="eastAsia" w:ascii="仿宋_GB2312" w:eastAsia="仿宋_GB2312"/>
                <w:sz w:val="24"/>
                <w:szCs w:val="24"/>
              </w:rPr>
              <w:t>，</w:t>
            </w:r>
            <w:r>
              <w:rPr>
                <w:rFonts w:ascii="仿宋_GB2312" w:eastAsia="仿宋_GB2312"/>
                <w:sz w:val="24"/>
                <w:szCs w:val="24"/>
              </w:rPr>
              <w:t>提高职业生涯管理能力和个人的综合素质能力。</w:t>
            </w:r>
            <w:r>
              <w:rPr>
                <w:rFonts w:hint="eastAsia" w:ascii="仿宋_GB2312" w:eastAsia="仿宋_GB2312"/>
                <w:sz w:val="24"/>
                <w:szCs w:val="24"/>
              </w:rPr>
              <w:t>缺点</w:t>
            </w:r>
            <w:r>
              <w:rPr>
                <w:rFonts w:ascii="仿宋_GB2312" w:eastAsia="仿宋_GB2312"/>
                <w:sz w:val="24"/>
                <w:szCs w:val="24"/>
              </w:rPr>
              <w:t>是</w:t>
            </w:r>
            <w:r>
              <w:rPr>
                <w:rFonts w:hint="eastAsia" w:ascii="仿宋_GB2312" w:eastAsia="仿宋_GB2312"/>
                <w:sz w:val="24"/>
                <w:szCs w:val="24"/>
              </w:rPr>
              <w:t>职业发展</w:t>
            </w:r>
            <w:r>
              <w:rPr>
                <w:rFonts w:ascii="仿宋_GB2312" w:eastAsia="仿宋_GB2312"/>
                <w:sz w:val="24"/>
                <w:szCs w:val="24"/>
              </w:rPr>
              <w:t>板块的内容较少。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ascii="Times New Roman" w:hAnsi="Times New Roman" w:eastAsia="仿宋_GB2312" w:cs="Times New Roman"/>
                <w:color w:val="000000"/>
                <w:kern w:val="0"/>
                <w:sz w:val="24"/>
                <w:szCs w:val="24"/>
              </w:rPr>
              <w:t>发展与就业</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ascii="Times New Roman" w:hAnsi="Times New Roman" w:eastAsia="仿宋_GB2312" w:cs="Times New Roman"/>
                <w:color w:val="000000"/>
                <w:kern w:val="0"/>
                <w:sz w:val="24"/>
                <w:szCs w:val="24"/>
              </w:rPr>
              <w:t>黄国华</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ascii="Times New Roman" w:hAnsi="Times New Roman" w:eastAsia="仿宋_GB2312" w:cs="Times New Roman"/>
                <w:color w:val="000000"/>
                <w:kern w:val="0"/>
                <w:sz w:val="24"/>
                <w:szCs w:val="24"/>
              </w:rPr>
              <w:t>北京林业大学</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爱课程(中国大学MOOC)</w:t>
            </w:r>
          </w:p>
        </w:tc>
        <w:tc>
          <w:tcPr>
            <w:tcW w:w="3919" w:type="dxa"/>
            <w:tcBorders>
              <w:top w:val="single" w:color="auto" w:sz="4" w:space="0"/>
              <w:left w:val="single" w:color="auto" w:sz="4" w:space="0"/>
              <w:bottom w:val="single" w:color="auto" w:sz="4" w:space="0"/>
            </w:tcBorders>
            <w:vAlign w:val="center"/>
          </w:tcPr>
          <w:p>
            <w:pPr>
              <w:ind w:firstLine="480" w:firstLineChars="200"/>
              <w:jc w:val="center"/>
              <w:rPr>
                <w:rFonts w:ascii="仿宋_GB2312" w:eastAsia="仿宋_GB2312"/>
                <w:sz w:val="24"/>
                <w:szCs w:val="24"/>
              </w:rPr>
            </w:pPr>
            <w:r>
              <w:rPr>
                <w:rFonts w:hint="eastAsia" w:ascii="仿宋_GB2312" w:eastAsia="仿宋_GB2312"/>
                <w:sz w:val="24"/>
                <w:szCs w:val="24"/>
              </w:rPr>
              <w:t>课程</w:t>
            </w:r>
            <w:r>
              <w:rPr>
                <w:rFonts w:ascii="仿宋_GB2312" w:eastAsia="仿宋_GB2312"/>
                <w:sz w:val="24"/>
                <w:szCs w:val="24"/>
              </w:rPr>
              <w:t>优点是使同学们对人生发展与职业、就业等理论与方法有一个宏观的了解，对</w:t>
            </w:r>
            <w:r>
              <w:rPr>
                <w:rFonts w:hint="eastAsia" w:ascii="仿宋_GB2312" w:eastAsia="仿宋_GB2312"/>
                <w:sz w:val="24"/>
                <w:szCs w:val="24"/>
              </w:rPr>
              <w:t>劳动力</w:t>
            </w:r>
            <w:r>
              <w:rPr>
                <w:rFonts w:ascii="仿宋_GB2312" w:eastAsia="仿宋_GB2312"/>
                <w:sz w:val="24"/>
                <w:szCs w:val="24"/>
              </w:rPr>
              <w:t>发展、流动与就业的特点、状况有一个清晰的认识，</w:t>
            </w:r>
            <w:r>
              <w:rPr>
                <w:rFonts w:hint="eastAsia" w:ascii="仿宋_GB2312" w:eastAsia="仿宋_GB2312"/>
                <w:sz w:val="24"/>
                <w:szCs w:val="24"/>
              </w:rPr>
              <w:t>从而</w:t>
            </w:r>
            <w:r>
              <w:rPr>
                <w:rFonts w:ascii="仿宋_GB2312" w:eastAsia="仿宋_GB2312"/>
                <w:sz w:val="24"/>
                <w:szCs w:val="24"/>
              </w:rPr>
              <w:t>能够</w:t>
            </w:r>
            <w:r>
              <w:rPr>
                <w:rFonts w:hint="eastAsia" w:ascii="仿宋_GB2312" w:eastAsia="仿宋_GB2312"/>
                <w:sz w:val="24"/>
                <w:szCs w:val="24"/>
              </w:rPr>
              <w:t>掌握</w:t>
            </w:r>
            <w:r>
              <w:rPr>
                <w:rFonts w:ascii="仿宋_GB2312" w:eastAsia="仿宋_GB2312"/>
                <w:sz w:val="24"/>
                <w:szCs w:val="24"/>
              </w:rPr>
              <w:t>就业的有关规律，进而</w:t>
            </w:r>
            <w:r>
              <w:rPr>
                <w:rFonts w:hint="eastAsia" w:ascii="仿宋_GB2312" w:eastAsia="仿宋_GB2312"/>
                <w:sz w:val="24"/>
                <w:szCs w:val="24"/>
              </w:rPr>
              <w:t>因势利导，</w:t>
            </w:r>
            <w:r>
              <w:rPr>
                <w:rFonts w:ascii="仿宋_GB2312" w:eastAsia="仿宋_GB2312"/>
                <w:sz w:val="24"/>
                <w:szCs w:val="24"/>
              </w:rPr>
              <w:t>寻找到</w:t>
            </w:r>
            <w:r>
              <w:rPr>
                <w:rFonts w:hint="eastAsia" w:ascii="仿宋_GB2312" w:eastAsia="仿宋_GB2312"/>
                <w:sz w:val="24"/>
                <w:szCs w:val="24"/>
              </w:rPr>
              <w:t>体现</w:t>
            </w:r>
            <w:r>
              <w:rPr>
                <w:rFonts w:ascii="仿宋_GB2312" w:eastAsia="仿宋_GB2312"/>
                <w:sz w:val="24"/>
                <w:szCs w:val="24"/>
              </w:rPr>
              <w:t>自己价值的职场点</w:t>
            </w:r>
            <w:r>
              <w:rPr>
                <w:rFonts w:hint="eastAsia" w:ascii="仿宋_GB2312" w:eastAsia="仿宋_GB2312"/>
                <w:sz w:val="24"/>
                <w:szCs w:val="24"/>
              </w:rPr>
              <w:t>，</w:t>
            </w:r>
            <w:r>
              <w:rPr>
                <w:rFonts w:ascii="仿宋_GB2312" w:eastAsia="仿宋_GB2312"/>
                <w:sz w:val="24"/>
                <w:szCs w:val="24"/>
              </w:rPr>
              <w:t>掌握发展规律，知晓就业理论、提</w:t>
            </w:r>
            <w:r>
              <w:rPr>
                <w:rFonts w:hint="eastAsia" w:ascii="仿宋_GB2312" w:eastAsia="仿宋_GB2312"/>
                <w:sz w:val="24"/>
                <w:szCs w:val="24"/>
              </w:rPr>
              <w:t>高</w:t>
            </w:r>
            <w:r>
              <w:rPr>
                <w:rFonts w:ascii="仿宋_GB2312" w:eastAsia="仿宋_GB2312"/>
                <w:sz w:val="24"/>
                <w:szCs w:val="24"/>
              </w:rPr>
              <w:t>职业素质和</w:t>
            </w:r>
            <w:r>
              <w:rPr>
                <w:rFonts w:hint="eastAsia" w:ascii="仿宋_GB2312" w:eastAsia="仿宋_GB2312"/>
                <w:sz w:val="24"/>
                <w:szCs w:val="24"/>
              </w:rPr>
              <w:t>竞争</w:t>
            </w:r>
            <w:r>
              <w:rPr>
                <w:rFonts w:ascii="仿宋_GB2312" w:eastAsia="仿宋_GB2312"/>
                <w:sz w:val="24"/>
                <w:szCs w:val="24"/>
              </w:rPr>
              <w:t>能力。</w:t>
            </w:r>
            <w:r>
              <w:rPr>
                <w:rFonts w:hint="eastAsia" w:ascii="仿宋_GB2312" w:eastAsia="仿宋_GB2312"/>
                <w:sz w:val="24"/>
                <w:szCs w:val="24"/>
              </w:rPr>
              <w:t>缺点是过于</w:t>
            </w:r>
            <w:r>
              <w:rPr>
                <w:rFonts w:ascii="仿宋_GB2312" w:eastAsia="仿宋_GB2312"/>
                <w:sz w:val="24"/>
                <w:szCs w:val="24"/>
              </w:rPr>
              <w:t>注重理论，实际的案例较少。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不负卿春                        ——大学生职业生涯规划</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洪云</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昆明理工大学</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szCs w:val="24"/>
              </w:rPr>
            </w:pPr>
            <w:r>
              <w:rPr>
                <w:rFonts w:hint="eastAsia" w:ascii="仿宋_GB2312" w:eastAsia="仿宋_GB2312"/>
                <w:sz w:val="24"/>
                <w:szCs w:val="24"/>
              </w:rPr>
              <w:t>智慧树</w:t>
            </w:r>
          </w:p>
        </w:tc>
        <w:tc>
          <w:tcPr>
            <w:tcW w:w="3919" w:type="dxa"/>
            <w:tcBorders>
              <w:top w:val="single" w:color="auto" w:sz="4" w:space="0"/>
              <w:left w:val="single" w:color="auto" w:sz="4" w:space="0"/>
              <w:bottom w:val="single" w:color="auto" w:sz="4" w:space="0"/>
            </w:tcBorders>
            <w:vAlign w:val="center"/>
          </w:tcPr>
          <w:p>
            <w:pPr>
              <w:pStyle w:val="6"/>
              <w:widowControl/>
              <w:shd w:val="clear" w:color="auto" w:fill="FFFFFF"/>
              <w:spacing w:line="312" w:lineRule="atLeast"/>
              <w:ind w:firstLine="480" w:firstLineChars="200"/>
              <w:jc w:val="center"/>
              <w:rPr>
                <w:rFonts w:hint="default" w:ascii="仿宋_GB2312" w:eastAsia="仿宋_GB2312"/>
              </w:rPr>
            </w:pPr>
            <w:r>
              <w:rPr>
                <w:rFonts w:ascii="仿宋_GB2312" w:eastAsia="仿宋_GB2312" w:hAnsiTheme="minorHAnsi" w:cstheme="minorBidi"/>
                <w:kern w:val="2"/>
              </w:rPr>
              <w:t>课程优点是以北森生涯相关知识为课程体系，</w:t>
            </w:r>
            <w:r>
              <w:rPr>
                <w:rFonts w:hint="default" w:ascii="仿宋_GB2312" w:eastAsia="仿宋_GB2312" w:hAnsiTheme="minorHAnsi" w:cstheme="minorBidi"/>
                <w:kern w:val="2"/>
              </w:rPr>
              <w:t>以简单实用、新颖有趣的授课方式，以发人深省的问题为向导</w:t>
            </w:r>
            <w:r>
              <w:rPr>
                <w:rFonts w:ascii="仿宋_GB2312" w:eastAsia="仿宋_GB2312" w:hAnsiTheme="minorHAnsi" w:cstheme="minorBidi"/>
                <w:kern w:val="2"/>
              </w:rPr>
              <w:t>，</w:t>
            </w:r>
            <w:r>
              <w:rPr>
                <w:rFonts w:hint="default" w:ascii="仿宋_GB2312" w:eastAsia="仿宋_GB2312" w:hAnsiTheme="minorHAnsi" w:cstheme="minorBidi"/>
                <w:kern w:val="2"/>
              </w:rPr>
              <w:t>以内涵深刻的故事和案例为切入</w:t>
            </w:r>
            <w:r>
              <w:rPr>
                <w:rFonts w:ascii="仿宋_GB2312" w:eastAsia="仿宋_GB2312" w:hAnsiTheme="minorHAnsi" w:cstheme="minorBidi"/>
                <w:kern w:val="2"/>
              </w:rPr>
              <w:t>，</w:t>
            </w:r>
            <w:r>
              <w:rPr>
                <w:rFonts w:hint="default" w:ascii="仿宋_GB2312" w:eastAsia="仿宋_GB2312" w:hAnsiTheme="minorHAnsi" w:cstheme="minorBidi"/>
                <w:kern w:val="2"/>
              </w:rPr>
              <w:t>立足现实和趋势，传授分析工具</w:t>
            </w:r>
            <w:r>
              <w:rPr>
                <w:rFonts w:ascii="仿宋_GB2312" w:eastAsia="仿宋_GB2312" w:hAnsiTheme="minorHAnsi" w:cstheme="minorBidi"/>
                <w:kern w:val="2"/>
              </w:rPr>
              <w:t>，</w:t>
            </w:r>
            <w:r>
              <w:rPr>
                <w:rFonts w:hint="default" w:ascii="仿宋_GB2312" w:eastAsia="仿宋_GB2312" w:hAnsiTheme="minorHAnsi" w:cstheme="minorBidi"/>
                <w:kern w:val="2"/>
              </w:rPr>
              <w:t>为即将踏入社会的大学生们量身定制培养职业技能</w:t>
            </w:r>
            <w:r>
              <w:rPr>
                <w:rFonts w:ascii="仿宋_GB2312" w:eastAsia="仿宋_GB2312" w:hAnsiTheme="minorHAnsi" w:cstheme="minorBidi"/>
                <w:kern w:val="2"/>
              </w:rPr>
              <w:t>。生涯人物访谈为学生职业选择提供了相应的参考。缺点是课程总体上比较偏向理论。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spacing w:line="360" w:lineRule="auto"/>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《大学生就业21问》于2019年被认定为四川省在线开放精品课程，该课程是</w:t>
            </w:r>
            <w:r>
              <w:rPr>
                <w:rFonts w:ascii="Times New Roman" w:hAnsi="Times New Roman" w:eastAsia="仿宋_GB2312" w:cs="Times New Roman"/>
                <w:color w:val="000000"/>
                <w:sz w:val="24"/>
                <w:szCs w:val="24"/>
              </w:rPr>
              <w:t>面向在校大学生打造的在线就业教育培育方案。</w:t>
            </w:r>
            <w:r>
              <w:rPr>
                <w:rFonts w:hint="eastAsia" w:ascii="Times New Roman" w:hAnsi="Times New Roman" w:eastAsia="仿宋_GB2312" w:cs="Times New Roman"/>
                <w:color w:val="000000"/>
                <w:sz w:val="24"/>
                <w:szCs w:val="24"/>
              </w:rPr>
              <w:t>课程自2018年11月开设至今，已面向全国165所高校共8.8万学生开放。课程特点与优势如下：</w:t>
            </w:r>
          </w:p>
          <w:p>
            <w:pPr>
              <w:spacing w:line="360" w:lineRule="auto"/>
              <w:ind w:firstLine="482" w:firstLineChars="200"/>
              <w:rPr>
                <w:rFonts w:ascii="Times New Roman" w:hAnsi="Times New Roman" w:eastAsia="仿宋_GB2312" w:cs="Times New Roman"/>
                <w:sz w:val="24"/>
                <w:szCs w:val="24"/>
              </w:rPr>
            </w:pPr>
            <w:r>
              <w:rPr>
                <w:rFonts w:ascii="Times New Roman" w:hAnsi="Times New Roman" w:eastAsia="仿宋_GB2312" w:cs="Times New Roman"/>
                <w:b/>
                <w:bCs/>
                <w:sz w:val="24"/>
                <w:szCs w:val="24"/>
              </w:rPr>
              <w:t>1、基于学生视角</w:t>
            </w:r>
            <w:r>
              <w:rPr>
                <w:rFonts w:hint="eastAsia" w:ascii="Times New Roman" w:hAnsi="Times New Roman" w:eastAsia="仿宋_GB2312" w:cs="Times New Roman"/>
                <w:b/>
                <w:bCs/>
                <w:sz w:val="24"/>
                <w:szCs w:val="24"/>
              </w:rPr>
              <w:t>进行教学设计</w:t>
            </w:r>
            <w:r>
              <w:rPr>
                <w:rFonts w:ascii="Times New Roman" w:hAnsi="Times New Roman" w:eastAsia="仿宋_GB2312" w:cs="Times New Roman"/>
                <w:b/>
                <w:bCs/>
                <w:sz w:val="24"/>
                <w:szCs w:val="24"/>
              </w:rPr>
              <w:t>，课程“代入感”较强</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基于学生的诉求梳理出大学生就业过程中面临的典型问题，从学生视角以第一人称进行设问。例如“我的性格适合做什么工作？”“我能够做什么工作？”等，</w:t>
            </w:r>
            <w:r>
              <w:rPr>
                <w:rFonts w:hint="eastAsia" w:ascii="Times New Roman" w:hAnsi="Times New Roman" w:eastAsia="仿宋_GB2312" w:cs="Times New Roman"/>
                <w:sz w:val="24"/>
                <w:szCs w:val="24"/>
              </w:rPr>
              <w:t>帮助学生进行自我探索，</w:t>
            </w:r>
            <w:r>
              <w:rPr>
                <w:rFonts w:ascii="Times New Roman" w:hAnsi="Times New Roman" w:eastAsia="仿宋_GB2312" w:cs="Times New Roman"/>
                <w:sz w:val="24"/>
                <w:szCs w:val="24"/>
              </w:rPr>
              <w:t>能够通过屏幕较好拉近与学生的距离，促使学生带着问题学习，教学目标明确，能将学生更快的代入课程。每期安排见面直播课程，以无领导小组讨论为题，邀请企业资深HR参与见面课，现场进行点评，情景体验效果好。</w:t>
            </w:r>
          </w:p>
          <w:p>
            <w:pPr>
              <w:numPr>
                <w:ilvl w:val="0"/>
                <w:numId w:val="1"/>
              </w:num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融合多门课程资源，融入课程育人内涵</w:t>
            </w:r>
          </w:p>
          <w:p>
            <w:pPr>
              <w:spacing w:line="360" w:lineRule="auto"/>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sz w:val="24"/>
                <w:szCs w:val="24"/>
              </w:rPr>
              <w:t>融合</w:t>
            </w:r>
            <w:r>
              <w:rPr>
                <w:rFonts w:ascii="Times New Roman" w:hAnsi="Times New Roman" w:eastAsia="仿宋_GB2312" w:cs="Times New Roman"/>
                <w:sz w:val="24"/>
                <w:szCs w:val="24"/>
              </w:rPr>
              <w:t>《大学生就</w:t>
            </w:r>
            <w:r>
              <w:rPr>
                <w:rFonts w:ascii="Times New Roman" w:hAnsi="Times New Roman" w:eastAsia="仿宋_GB2312" w:cs="Times New Roman"/>
                <w:color w:val="000000"/>
                <w:sz w:val="24"/>
                <w:szCs w:val="24"/>
              </w:rPr>
              <w:t>业及创业指导》《大学生职业生涯发展与规划》和《积极心理与大学生活》三门公共教育课的核心知识，结合大学生就业的时序性特征，围绕就业课程的学习内涵、学习者能力提升的核心需求、大学生身心发展规律，经过大量调研和访谈，</w:t>
            </w:r>
            <w:r>
              <w:rPr>
                <w:rFonts w:hint="eastAsia" w:ascii="Times New Roman" w:hAnsi="Times New Roman" w:eastAsia="仿宋_GB2312" w:cs="Times New Roman"/>
                <w:color w:val="000000"/>
                <w:sz w:val="24"/>
                <w:szCs w:val="24"/>
              </w:rPr>
              <w:t>将就业分成目标定位、求职准备、求职行动以及职场适应四个阶段，</w:t>
            </w:r>
            <w:r>
              <w:rPr>
                <w:rFonts w:ascii="Times New Roman" w:hAnsi="Times New Roman" w:eastAsia="仿宋_GB2312" w:cs="Times New Roman"/>
                <w:color w:val="000000"/>
                <w:sz w:val="24"/>
                <w:szCs w:val="24"/>
              </w:rPr>
              <w:t>较好的设计了21个就业典型问题，让学习者更为专注系统地了解就业相关知识，</w:t>
            </w:r>
            <w:r>
              <w:rPr>
                <w:rFonts w:hint="eastAsia" w:ascii="Times New Roman" w:hAnsi="Times New Roman" w:eastAsia="仿宋_GB2312" w:cs="Times New Roman"/>
                <w:color w:val="000000"/>
                <w:sz w:val="24"/>
                <w:szCs w:val="24"/>
              </w:rPr>
              <w:t>不仅仅是就业技巧性的提升，还通过融入职业规划知识促进学生自我探索，融入积极心理学知识，帮助学生树立阳光积极的工作和生活态度，以提升就业指导课程的育人内涵</w:t>
            </w:r>
            <w:r>
              <w:rPr>
                <w:rFonts w:ascii="Times New Roman" w:hAnsi="Times New Roman" w:eastAsia="仿宋_GB2312" w:cs="Times New Roman"/>
                <w:color w:val="000000"/>
                <w:sz w:val="24"/>
                <w:szCs w:val="24"/>
              </w:rPr>
              <w:t>。</w:t>
            </w:r>
          </w:p>
          <w:p>
            <w:pPr>
              <w:numPr>
                <w:ilvl w:val="0"/>
                <w:numId w:val="1"/>
              </w:numPr>
              <w:spacing w:line="360" w:lineRule="auto"/>
              <w:ind w:firstLine="482" w:firstLineChars="200"/>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采用多种教学手段，课程互动性较强</w:t>
            </w:r>
          </w:p>
          <w:p>
            <w:pPr>
              <w:spacing w:line="360" w:lineRule="auto"/>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采用校园采访、在线互动测评、趣味教学视频、直播见面课、案例展示讲解、企业HR互动、教师在线发起讨论等多种教学手段，增加课程的趣味性和互动性，启发学生在愉悦轻松的学习环境种自我探索、自我反思，学习平台的经常性互动也发挥了朋辈辅导的作用。</w:t>
            </w:r>
          </w:p>
          <w:p>
            <w:pPr>
              <w:spacing w:line="360" w:lineRule="auto"/>
              <w:ind w:firstLine="480" w:firstLineChars="200"/>
              <w:rPr>
                <w:rFonts w:ascii="Times New Roman" w:hAnsi="Times New Roman" w:eastAsia="仿宋_GB2312" w:cs="Times New Roman"/>
                <w:b/>
                <w:bCs/>
                <w:sz w:val="24"/>
                <w:szCs w:val="24"/>
              </w:rPr>
            </w:pPr>
            <w:r>
              <w:rPr>
                <w:rFonts w:hint="eastAsia" w:ascii="Times New Roman" w:hAnsi="Times New Roman" w:eastAsia="仿宋_GB2312" w:cs="Times New Roman"/>
                <w:sz w:val="24"/>
                <w:szCs w:val="24"/>
              </w:rPr>
              <w:t>4、</w:t>
            </w:r>
            <w:r>
              <w:rPr>
                <w:rFonts w:ascii="Times New Roman" w:hAnsi="Times New Roman" w:eastAsia="仿宋_GB2312" w:cs="Times New Roman"/>
                <w:b/>
                <w:bCs/>
                <w:sz w:val="24"/>
                <w:szCs w:val="24"/>
              </w:rPr>
              <w:t>发挥综合性大学优势，课程应用性较好</w:t>
            </w:r>
          </w:p>
          <w:p>
            <w:pPr>
              <w:spacing w:line="360" w:lineRule="auto"/>
              <w:ind w:firstLine="480" w:firstLineChars="200"/>
              <w:rPr>
                <w:rFonts w:ascii="仿宋_GB2312" w:eastAsia="仿宋_GB2312"/>
                <w:sz w:val="24"/>
                <w:szCs w:val="24"/>
              </w:rPr>
            </w:pPr>
            <w:r>
              <w:rPr>
                <w:rFonts w:ascii="Times New Roman" w:hAnsi="Times New Roman" w:eastAsia="仿宋_GB2312" w:cs="Times New Roman"/>
                <w:sz w:val="24"/>
                <w:szCs w:val="24"/>
              </w:rPr>
              <w:t>充分利用西华大学省属重点综合性大学的特点，分别从工、理、文、艺术各学科方向收集整理素材，案例典型、贴近现实，具有一定的代表性和较好的参考价值，目前选课学生涵盖了师范类、农业类、建筑类、中医药类、民族类等</w:t>
            </w:r>
            <w:r>
              <w:rPr>
                <w:rFonts w:hint="eastAsia" w:ascii="Times New Roman" w:hAnsi="Times New Roman" w:eastAsia="仿宋_GB2312" w:cs="Times New Roman"/>
                <w:sz w:val="24"/>
                <w:szCs w:val="24"/>
              </w:rPr>
              <w:t>165</w:t>
            </w:r>
            <w:r>
              <w:rPr>
                <w:rFonts w:ascii="Times New Roman" w:hAnsi="Times New Roman" w:eastAsia="仿宋_GB2312" w:cs="Times New Roman"/>
                <w:sz w:val="24"/>
                <w:szCs w:val="24"/>
              </w:rPr>
              <w:t>所院校。另外，课程在知名高校网络互动社区“易班”平台中被列为“易班优课”，供全国高校学生免费学习。</w:t>
            </w:r>
            <w:r>
              <w:rPr>
                <w:rFonts w:hint="eastAsia" w:ascii="Times New Roman" w:hAnsi="Times New Roman" w:eastAsia="仿宋_GB2312" w:cs="Times New Roman"/>
                <w:sz w:val="24"/>
                <w:szCs w:val="24"/>
              </w:rPr>
              <w:t>课程还可以为各高校校内翻转教学提供在线教学素材。</w:t>
            </w: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1、</w:t>
            </w:r>
            <w:r>
              <w:rPr>
                <w:rFonts w:ascii="Times New Roman" w:hAnsi="Times New Roman" w:eastAsia="仿宋_GB2312" w:cs="Times New Roman"/>
                <w:b/>
                <w:bCs/>
                <w:sz w:val="24"/>
                <w:szCs w:val="24"/>
              </w:rPr>
              <w:t>成绩考核办法</w:t>
            </w:r>
          </w:p>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课程考核成绩主要包含平时成绩、见面课成绩、章测试成绩和期末在线测试成绩四个部分（见图3）。期末在线测试成绩占比30%，而过程性考核占比70%，注重对学习者日常学习行为和效果的考核，旨在帮助学习者共同养成良好学习习惯，注重日常学习积累，真正学有所获。</w:t>
            </w:r>
          </w:p>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drawing>
                <wp:inline distT="0" distB="0" distL="114300" distR="114300">
                  <wp:extent cx="4636770" cy="1496060"/>
                  <wp:effectExtent l="0" t="0" r="1143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r="3188"/>
                          <a:stretch>
                            <a:fillRect/>
                          </a:stretch>
                        </pic:blipFill>
                        <pic:spPr>
                          <a:xfrm>
                            <a:off x="0" y="0"/>
                            <a:ext cx="4636770" cy="1496060"/>
                          </a:xfrm>
                          <a:prstGeom prst="rect">
                            <a:avLst/>
                          </a:prstGeom>
                          <a:noFill/>
                          <a:ln>
                            <a:noFill/>
                          </a:ln>
                        </pic:spPr>
                      </pic:pic>
                    </a:graphicData>
                  </a:graphic>
                </wp:inline>
              </w:drawing>
            </w:r>
          </w:p>
          <w:p>
            <w:pPr>
              <w:jc w:val="center"/>
              <w:rPr>
                <w:rFonts w:ascii="Times New Roman" w:hAnsi="Times New Roman" w:eastAsia="仿宋_GB2312" w:cs="Times New Roman"/>
                <w:szCs w:val="21"/>
              </w:rPr>
            </w:pPr>
            <w:r>
              <w:rPr>
                <w:rFonts w:ascii="Times New Roman" w:hAnsi="Times New Roman" w:eastAsia="仿宋_GB2312" w:cs="Times New Roman"/>
                <w:szCs w:val="21"/>
              </w:rPr>
              <w:t>图</w:t>
            </w:r>
            <w:r>
              <w:rPr>
                <w:rFonts w:hint="eastAsia" w:ascii="Times New Roman" w:hAnsi="Times New Roman" w:eastAsia="仿宋_GB2312" w:cs="Times New Roman"/>
                <w:szCs w:val="21"/>
              </w:rPr>
              <w:t>1</w:t>
            </w:r>
            <w:r>
              <w:rPr>
                <w:rFonts w:ascii="Times New Roman" w:hAnsi="Times New Roman" w:eastAsia="仿宋_GB2312" w:cs="Times New Roman"/>
                <w:szCs w:val="21"/>
              </w:rPr>
              <w:t xml:space="preserve"> 考核成绩构成图</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其中平时成绩（40%）主要考察学习者视频学习和参与讨论的情况，每节课视频中间段均设置弹题，题目一般是对前半段课程内容的回顾，以此考察学习者是否理解所讲内容；课程共六章，每章设置5道测试题，以此考察学习者对本章内容的掌握程度；见面课共90分钟，一方面是出勤考核，另一方面是在见面课中的互动频次；期末测试包含单选题、</w:t>
            </w:r>
            <w:r>
              <w:rPr>
                <w:rFonts w:hint="eastAsia" w:ascii="Times New Roman" w:hAnsi="Times New Roman" w:eastAsia="仿宋_GB2312" w:cs="Times New Roman"/>
                <w:sz w:val="24"/>
                <w:szCs w:val="24"/>
              </w:rPr>
              <w:t>多项</w:t>
            </w:r>
            <w:r>
              <w:rPr>
                <w:rFonts w:ascii="Times New Roman" w:hAnsi="Times New Roman" w:eastAsia="仿宋_GB2312" w:cs="Times New Roman"/>
                <w:sz w:val="24"/>
                <w:szCs w:val="24"/>
              </w:rPr>
              <w:t>选择题和判断题三种题型。</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2、</w:t>
            </w:r>
            <w:r>
              <w:rPr>
                <w:rFonts w:ascii="Times New Roman" w:hAnsi="Times New Roman" w:eastAsia="仿宋_GB2312" w:cs="Times New Roman"/>
                <w:b/>
                <w:bCs/>
                <w:sz w:val="24"/>
                <w:szCs w:val="24"/>
              </w:rPr>
              <w:t>成绩评定方式</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成绩评定主要采取系统评分、学生自评、互评、教师考评等方式。教师根据平台统计的考试数据进行成绩分析，评估每个过程的成绩总体情况是否达到教学目标。过程评价情况为视频教学内容和考试题目更新提供一定的参考。成绩达到60分，即可获取合格证书，学生持合格证书即可在本校申请认定1学分。</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通过对在线平台学生学习数据进行研究，完善了基于过程的评价体系，深化了学生自主学习的内涵建设。</w:t>
            </w:r>
          </w:p>
          <w:p>
            <w:pPr>
              <w:rPr>
                <w:rFonts w:ascii="仿宋_GB2312" w:hAnsi="仿宋"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spacing w:line="360" w:lineRule="auto"/>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1、融入课程思政，推进线上线下混合式教学改革</w:t>
            </w:r>
          </w:p>
          <w:p>
            <w:pPr>
              <w:spacing w:line="360" w:lineRule="auto"/>
              <w:ind w:firstLine="481"/>
              <w:rPr>
                <w:rFonts w:ascii="Times New Roman" w:hAnsi="Times New Roman" w:eastAsia="仿宋_GB2312" w:cs="Times New Roman"/>
                <w:sz w:val="24"/>
                <w:szCs w:val="24"/>
              </w:rPr>
            </w:pPr>
            <w:r>
              <w:rPr>
                <w:rFonts w:ascii="Times New Roman" w:hAnsi="Times New Roman" w:eastAsia="仿宋_GB2312" w:cs="Times New Roman"/>
                <w:sz w:val="24"/>
                <w:szCs w:val="24"/>
              </w:rPr>
              <w:t>在校内</w:t>
            </w:r>
            <w:r>
              <w:rPr>
                <w:rFonts w:hint="eastAsia" w:ascii="Times New Roman" w:hAnsi="Times New Roman" w:eastAsia="仿宋_GB2312" w:cs="Times New Roman"/>
                <w:sz w:val="24"/>
                <w:szCs w:val="24"/>
              </w:rPr>
              <w:t>开设《大学生就业21问》线下通识选修课程，从2019年开始</w:t>
            </w:r>
            <w:r>
              <w:rPr>
                <w:rFonts w:ascii="Times New Roman" w:hAnsi="Times New Roman" w:eastAsia="仿宋_GB2312" w:cs="Times New Roman"/>
                <w:sz w:val="24"/>
                <w:szCs w:val="24"/>
              </w:rPr>
              <w:t>推行线上线下</w:t>
            </w:r>
            <w:r>
              <w:rPr>
                <w:rFonts w:hint="eastAsia" w:ascii="Times New Roman" w:hAnsi="Times New Roman" w:eastAsia="仿宋_GB2312" w:cs="Times New Roman"/>
                <w:sz w:val="24"/>
                <w:szCs w:val="24"/>
              </w:rPr>
              <w:t>混合式教学改革</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实行翻转课堂教学。以就业育人为导向，重构线下课程，融入社会主义核心价值观和理想信念教育，</w:t>
            </w:r>
            <w:r>
              <w:rPr>
                <w:rFonts w:ascii="Times New Roman" w:hAnsi="Times New Roman" w:eastAsia="仿宋_GB2312" w:cs="Times New Roman"/>
                <w:sz w:val="24"/>
                <w:szCs w:val="24"/>
              </w:rPr>
              <w:t>开展课程设计、学习模式、教学组织等方面的改革探索，</w:t>
            </w:r>
            <w:r>
              <w:rPr>
                <w:rFonts w:hint="eastAsia" w:ascii="Times New Roman" w:hAnsi="Times New Roman" w:eastAsia="仿宋_GB2312" w:cs="Times New Roman"/>
                <w:sz w:val="24"/>
                <w:szCs w:val="24"/>
              </w:rPr>
              <w:t>将线上教学和线下教学相结合，给学生提供了全方位的互动学习体验。结合自主建设的课程开展翻转教学，具有先天的优势：可以有效地将理论与实践相结合，教学与互动体验相结合，增加课程的吸引力和育人内涵，学生反响较好。</w:t>
            </w:r>
          </w:p>
          <w:p>
            <w:pPr>
              <w:spacing w:line="360" w:lineRule="auto"/>
              <w:ind w:firstLine="481"/>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2、</w:t>
            </w:r>
            <w:r>
              <w:rPr>
                <w:rFonts w:ascii="Times New Roman" w:hAnsi="Times New Roman" w:eastAsia="仿宋_GB2312" w:cs="Times New Roman"/>
                <w:b/>
                <w:bCs/>
                <w:sz w:val="24"/>
                <w:szCs w:val="24"/>
              </w:rPr>
              <w:t>课程开放程度高，深受学生欢迎</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自2018年12月13日上线以来，课程已经</w:t>
            </w:r>
            <w:r>
              <w:rPr>
                <w:rFonts w:hint="eastAsia" w:ascii="Times New Roman" w:hAnsi="Times New Roman" w:eastAsia="仿宋_GB2312" w:cs="Times New Roman"/>
                <w:sz w:val="24"/>
                <w:szCs w:val="24"/>
              </w:rPr>
              <w:t>完整</w:t>
            </w:r>
            <w:r>
              <w:rPr>
                <w:rFonts w:ascii="Times New Roman" w:hAnsi="Times New Roman" w:eastAsia="仿宋_GB2312" w:cs="Times New Roman"/>
                <w:sz w:val="24"/>
                <w:szCs w:val="24"/>
              </w:rPr>
              <w:t>运行了</w:t>
            </w:r>
            <w:r>
              <w:rPr>
                <w:rFonts w:hint="eastAsia" w:ascii="Times New Roman" w:hAnsi="Times New Roman" w:eastAsia="仿宋_GB2312" w:cs="Times New Roman"/>
                <w:sz w:val="24"/>
                <w:szCs w:val="24"/>
              </w:rPr>
              <w:t>五</w:t>
            </w:r>
            <w:r>
              <w:rPr>
                <w:rFonts w:ascii="Times New Roman" w:hAnsi="Times New Roman" w:eastAsia="仿宋_GB2312" w:cs="Times New Roman"/>
                <w:sz w:val="24"/>
                <w:szCs w:val="24"/>
              </w:rPr>
              <w:t>学期。课程一经推出就受到学生们的喜爱，</w:t>
            </w:r>
            <w:r>
              <w:rPr>
                <w:rFonts w:hint="eastAsia" w:ascii="Times New Roman" w:hAnsi="Times New Roman" w:eastAsia="仿宋_GB2312" w:cs="Times New Roman"/>
                <w:sz w:val="24"/>
                <w:szCs w:val="24"/>
              </w:rPr>
              <w:t>截止目前</w:t>
            </w:r>
            <w:r>
              <w:rPr>
                <w:rFonts w:ascii="Times New Roman" w:hAnsi="Times New Roman" w:eastAsia="仿宋_GB2312" w:cs="Times New Roman"/>
                <w:sz w:val="24"/>
                <w:szCs w:val="24"/>
              </w:rPr>
              <w:t>选课总人数达</w:t>
            </w:r>
            <w:r>
              <w:rPr>
                <w:rFonts w:hint="eastAsia" w:ascii="Times New Roman" w:hAnsi="Times New Roman" w:eastAsia="仿宋_GB2312" w:cs="Times New Roman"/>
                <w:sz w:val="24"/>
                <w:szCs w:val="24"/>
              </w:rPr>
              <w:t>8.8</w:t>
            </w:r>
            <w:r>
              <w:rPr>
                <w:rFonts w:ascii="Times New Roman" w:hAnsi="Times New Roman" w:eastAsia="仿宋_GB2312" w:cs="Times New Roman"/>
                <w:sz w:val="24"/>
                <w:szCs w:val="24"/>
              </w:rPr>
              <w:t>万人，选课学生覆盖西华大学、山东农业大学、成都大学、河北工程大学、四川大学锦城学院、安阳师范学院、咸阳师范学院、湖南工学院、江苏第二师范学院、吉林建筑大学、安徽中医药大学、广西民族大学、湖北科技学院等</w:t>
            </w:r>
            <w:r>
              <w:rPr>
                <w:rFonts w:hint="eastAsia" w:ascii="Times New Roman" w:hAnsi="Times New Roman" w:eastAsia="仿宋_GB2312" w:cs="Times New Roman"/>
                <w:sz w:val="24"/>
                <w:szCs w:val="24"/>
              </w:rPr>
              <w:t>165</w:t>
            </w:r>
            <w:r>
              <w:rPr>
                <w:rFonts w:ascii="Times New Roman" w:hAnsi="Times New Roman" w:eastAsia="仿宋_GB2312" w:cs="Times New Roman"/>
                <w:sz w:val="24"/>
                <w:szCs w:val="24"/>
              </w:rPr>
              <w:t>所院校。</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课程内容实用，介绍了就业考研情况以及应试、制作简历的方法与技巧，对我们的毕业选择有指导意义”“讲得真好，学到了很多东西，很实用”“课程帮我认识了自己”“老师讲得很通透”“对我们就业有很大帮助”“……这些是同学们对课程的评价</w:t>
            </w:r>
            <w:r>
              <w:rPr>
                <w:rFonts w:hint="eastAsia" w:ascii="Times New Roman" w:hAnsi="Times New Roman" w:eastAsia="仿宋_GB2312" w:cs="Times New Roman"/>
                <w:sz w:val="24"/>
                <w:szCs w:val="24"/>
              </w:rPr>
              <w:t>。选课人数达1600余人的成都大学就业指导中心对课程给予了高度的评价，“</w:t>
            </w:r>
            <w:r>
              <w:rPr>
                <w:rFonts w:hint="eastAsia" w:ascii="Times New Roman" w:hAnsi="Times New Roman" w:eastAsia="仿宋_GB2312" w:cs="Times New Roman"/>
                <w:color w:val="000000"/>
                <w:sz w:val="24"/>
                <w:szCs w:val="24"/>
              </w:rPr>
              <w:t>课程注重过程性评价和过程性学习，深受学生喜爱和好评，提高了学生的学习积极性，对于提升学生在职业规划的自我探索和就业能力的提升方面起到了一定的教育意义，也为校内就业指导课程推进翻转课堂教学提供了丰富的线上教学资源。</w:t>
            </w:r>
            <w:r>
              <w:rPr>
                <w:rFonts w:hint="eastAsia" w:ascii="Times New Roman" w:hAnsi="Times New Roman" w:eastAsia="仿宋_GB2312" w:cs="Times New Roman"/>
                <w:sz w:val="24"/>
                <w:szCs w:val="24"/>
              </w:rPr>
              <w:t>”</w:t>
            </w:r>
          </w:p>
          <w:p>
            <w:pPr>
              <w:spacing w:line="360" w:lineRule="auto"/>
              <w:ind w:firstLine="482" w:firstLineChars="200"/>
              <w:rPr>
                <w:rFonts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3、课程应用范围广，社会反响较好</w:t>
            </w:r>
          </w:p>
          <w:p>
            <w:pPr>
              <w:pStyle w:val="39"/>
              <w:autoSpaceDE w:val="0"/>
              <w:autoSpaceDN w:val="0"/>
              <w:adjustRightInd w:val="0"/>
              <w:snapToGrid w:val="0"/>
              <w:spacing w:line="360" w:lineRule="auto"/>
              <w:ind w:left="106" w:right="85" w:firstLine="480"/>
              <w:rPr>
                <w:rFonts w:ascii="仿宋_GB2312" w:eastAsia="仿宋_GB2312"/>
                <w:sz w:val="24"/>
                <w:szCs w:val="24"/>
              </w:rPr>
            </w:pPr>
            <w:r>
              <w:rPr>
                <w:rFonts w:hint="eastAsia" w:ascii="Times New Roman" w:hAnsi="Times New Roman" w:eastAsia="仿宋_GB2312" w:cs="Times New Roman"/>
                <w:sz w:val="24"/>
                <w:szCs w:val="24"/>
                <w:lang w:val="en-US" w:bidi="ar-SA"/>
              </w:rPr>
              <w:t>2020年3月，课程入驻“学习强国四川平台”，2020年4月被“中国大学生在线”微信公众号推广，供学生学习使用，累计总播放量2.5万+，其丰富的文字、图片和视频内容，为做好疫情期间就业指导工作提供了宝贵资源，受到了社会各界的一致好评。</w:t>
            </w: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numPr>
                <w:ilvl w:val="0"/>
                <w:numId w:val="2"/>
              </w:numPr>
              <w:spacing w:line="360" w:lineRule="auto"/>
              <w:ind w:firstLine="482" w:firstLineChars="200"/>
              <w:rPr>
                <w:rFonts w:ascii="Times New Roman" w:hAnsi="Times New Roman" w:eastAsia="仿宋_GB2312" w:cs="Times New Roman"/>
                <w:b/>
                <w:bCs/>
                <w:sz w:val="24"/>
                <w:szCs w:val="24"/>
              </w:rPr>
            </w:pPr>
            <w:bookmarkStart w:id="0" w:name="_GoBack"/>
            <w:bookmarkEnd w:id="0"/>
            <w:r>
              <w:rPr>
                <w:rFonts w:ascii="Times New Roman" w:hAnsi="Times New Roman" w:eastAsia="仿宋_GB2312" w:cs="Times New Roman"/>
                <w:b/>
                <w:bCs/>
                <w:sz w:val="24"/>
                <w:szCs w:val="24"/>
              </w:rPr>
              <w:t>定期开设课程，保障课程良好持续运行</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今后5年中，每年开设2期课程，课程团队合理分工，提供必要的课程运行服务；积极进行平台互动，及时答疑解惑；丰富见面课的形式和内容，分享更多“干货”；调动一切资源，保障课程高质量运行。</w:t>
            </w:r>
          </w:p>
          <w:p>
            <w:pPr>
              <w:numPr>
                <w:ilvl w:val="0"/>
                <w:numId w:val="2"/>
              </w:numPr>
              <w:spacing w:line="360" w:lineRule="auto"/>
              <w:ind w:firstLine="482" w:firstLineChars="200"/>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加快课程建设，保持课程内容与时俱进</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根据最新的就业形势和政策，</w:t>
            </w:r>
            <w:r>
              <w:rPr>
                <w:rFonts w:hint="eastAsia" w:ascii="Times New Roman" w:hAnsi="Times New Roman" w:eastAsia="仿宋_GB2312" w:cs="Times New Roman"/>
                <w:sz w:val="24"/>
                <w:szCs w:val="24"/>
              </w:rPr>
              <w:t>基于疫情之后的学生的就业困惑和诉求以及企业的人才需求变化，充分挖掘就业指导课程的思政元素，融入课程思政</w:t>
            </w:r>
            <w:r>
              <w:rPr>
                <w:rFonts w:ascii="Times New Roman" w:hAnsi="Times New Roman" w:eastAsia="仿宋_GB2312" w:cs="Times New Roman"/>
                <w:sz w:val="24"/>
                <w:szCs w:val="24"/>
              </w:rPr>
              <w:t>。从教学大纲、授课形式、知识呈现方式等方面对课程视频和非视频学习资源进行持续更新，丰富教学案例，实现启发式教学，强化学生自主学习。</w:t>
            </w:r>
          </w:p>
          <w:p>
            <w:pPr>
              <w:numPr>
                <w:ilvl w:val="0"/>
                <w:numId w:val="2"/>
              </w:numPr>
              <w:spacing w:line="360" w:lineRule="auto"/>
              <w:ind w:firstLine="482" w:firstLineChars="200"/>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实行教学改革，打造线上线下混合金课</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一方面，</w:t>
            </w:r>
            <w:r>
              <w:rPr>
                <w:rFonts w:hint="eastAsia" w:ascii="Times New Roman" w:hAnsi="Times New Roman" w:eastAsia="仿宋_GB2312" w:cs="Times New Roman"/>
                <w:sz w:val="24"/>
                <w:szCs w:val="24"/>
              </w:rPr>
              <w:t>继续深化产学合作，在</w:t>
            </w:r>
            <w:r>
              <w:rPr>
                <w:rFonts w:ascii="Times New Roman" w:hAnsi="Times New Roman" w:eastAsia="仿宋_GB2312" w:cs="Times New Roman"/>
                <w:sz w:val="24"/>
                <w:szCs w:val="24"/>
              </w:rPr>
              <w:t>校内</w:t>
            </w:r>
            <w:r>
              <w:rPr>
                <w:rFonts w:hint="eastAsia" w:ascii="Times New Roman" w:hAnsi="Times New Roman" w:eastAsia="仿宋_GB2312" w:cs="Times New Roman"/>
                <w:sz w:val="24"/>
                <w:szCs w:val="24"/>
              </w:rPr>
              <w:t>继续开展</w:t>
            </w:r>
            <w:r>
              <w:rPr>
                <w:rFonts w:ascii="Times New Roman" w:hAnsi="Times New Roman" w:eastAsia="仿宋_GB2312" w:cs="Times New Roman"/>
                <w:sz w:val="24"/>
                <w:szCs w:val="24"/>
              </w:rPr>
              <w:t>翻转课堂教学，增加课程的互动性和实践性；另一方面，对接选课高校，跟进课程运行情况，及时收集整理学生反馈意见，在条件允许的情况下，到选课高校与学生进行进行面对面交流。</w:t>
            </w:r>
          </w:p>
          <w:p>
            <w:pPr>
              <w:numPr>
                <w:ilvl w:val="0"/>
                <w:numId w:val="2"/>
              </w:numPr>
              <w:spacing w:line="360" w:lineRule="auto"/>
              <w:ind w:firstLine="482" w:firstLineChars="200"/>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编写配套教材，构建就业指导知识体系</w:t>
            </w:r>
          </w:p>
          <w:p>
            <w:pPr>
              <w:adjustRightInd w:val="0"/>
              <w:snapToGrid w:val="0"/>
              <w:spacing w:line="360" w:lineRule="auto"/>
              <w:ind w:right="284" w:firstLine="480" w:firstLineChars="200"/>
              <w:jc w:val="left"/>
              <w:rPr>
                <w:rFonts w:ascii="仿宋_GB2312" w:eastAsia="仿宋_GB2312"/>
                <w:sz w:val="24"/>
                <w:szCs w:val="24"/>
              </w:rPr>
            </w:pPr>
            <w:r>
              <w:rPr>
                <w:rFonts w:hint="eastAsia" w:ascii="Times New Roman" w:hAnsi="Times New Roman" w:eastAsia="仿宋_GB2312" w:cs="Times New Roman"/>
                <w:sz w:val="24"/>
                <w:szCs w:val="24"/>
              </w:rPr>
              <w:t>基于教育部产学合作项目《新工科背景下大学生就业指导课程混合式建设》，与福建国科科技有限公司共同</w:t>
            </w:r>
            <w:r>
              <w:rPr>
                <w:rFonts w:ascii="Times New Roman" w:hAnsi="Times New Roman" w:eastAsia="仿宋_GB2312" w:cs="Times New Roman"/>
                <w:sz w:val="24"/>
                <w:szCs w:val="24"/>
              </w:rPr>
              <w:t>编写配套教材</w:t>
            </w:r>
            <w:r>
              <w:rPr>
                <w:rFonts w:hint="eastAsia" w:ascii="Times New Roman" w:hAnsi="Times New Roman" w:eastAsia="仿宋_GB2312" w:cs="Times New Roman"/>
                <w:sz w:val="24"/>
                <w:szCs w:val="24"/>
              </w:rPr>
              <w:t>《大学生就业修炼手册》</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针对课程中提到教学内容开发相应的训练工具，并附上在线课程二维码，方便学生实时进行视频学习，适时进行课后训练，以强化知识的理解和吸收。</w:t>
            </w: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26"/>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26"/>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22"/>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Helvetica">
    <w:altName w:val="Arial"/>
    <w:panose1 w:val="020B0604020202020204"/>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E+Zc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RPmX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AaxfI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BrF8j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BABB3"/>
    <w:multiLevelType w:val="singleLevel"/>
    <w:tmpl w:val="9A7BABB3"/>
    <w:lvl w:ilvl="0" w:tentative="0">
      <w:start w:val="2"/>
      <w:numFmt w:val="decimal"/>
      <w:suff w:val="nothing"/>
      <w:lvlText w:val="%1、"/>
      <w:lvlJc w:val="left"/>
    </w:lvl>
  </w:abstractNum>
  <w:abstractNum w:abstractNumId="1">
    <w:nsid w:val="22BE7737"/>
    <w:multiLevelType w:val="singleLevel"/>
    <w:tmpl w:val="22BE773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A0B8E"/>
    <w:rsid w:val="001C076B"/>
    <w:rsid w:val="001C5CF6"/>
    <w:rsid w:val="001D38B3"/>
    <w:rsid w:val="001D7185"/>
    <w:rsid w:val="001E15E3"/>
    <w:rsid w:val="00205D0E"/>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96E4B"/>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E59A8"/>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66041"/>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0F561C77"/>
    <w:rsid w:val="103C6E95"/>
    <w:rsid w:val="10CD7B9C"/>
    <w:rsid w:val="118A5D68"/>
    <w:rsid w:val="14620CF0"/>
    <w:rsid w:val="148A3ABD"/>
    <w:rsid w:val="158D6B5A"/>
    <w:rsid w:val="168F1BC8"/>
    <w:rsid w:val="17523AA0"/>
    <w:rsid w:val="17BE6127"/>
    <w:rsid w:val="18462AD7"/>
    <w:rsid w:val="189E2139"/>
    <w:rsid w:val="18EE0C5B"/>
    <w:rsid w:val="19386EAA"/>
    <w:rsid w:val="19677BB6"/>
    <w:rsid w:val="1BB25564"/>
    <w:rsid w:val="1C41270B"/>
    <w:rsid w:val="1D505248"/>
    <w:rsid w:val="1D94570D"/>
    <w:rsid w:val="1E1C744D"/>
    <w:rsid w:val="1E271961"/>
    <w:rsid w:val="1E976784"/>
    <w:rsid w:val="1F175367"/>
    <w:rsid w:val="1F2C2B07"/>
    <w:rsid w:val="1F6229A8"/>
    <w:rsid w:val="1FD654C3"/>
    <w:rsid w:val="20C0625B"/>
    <w:rsid w:val="215E1B9D"/>
    <w:rsid w:val="2164487C"/>
    <w:rsid w:val="21E26854"/>
    <w:rsid w:val="24CD6ECD"/>
    <w:rsid w:val="258E36FC"/>
    <w:rsid w:val="26AB0848"/>
    <w:rsid w:val="26AB1A6B"/>
    <w:rsid w:val="270B3F32"/>
    <w:rsid w:val="276B4295"/>
    <w:rsid w:val="27B41815"/>
    <w:rsid w:val="289A15D2"/>
    <w:rsid w:val="28A0312B"/>
    <w:rsid w:val="28E02704"/>
    <w:rsid w:val="2AA25E4A"/>
    <w:rsid w:val="2ABA423D"/>
    <w:rsid w:val="2B307B60"/>
    <w:rsid w:val="2C1D0220"/>
    <w:rsid w:val="2C4E5A04"/>
    <w:rsid w:val="2CAD6F8A"/>
    <w:rsid w:val="2DAA2CD6"/>
    <w:rsid w:val="2F6D14A0"/>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06325"/>
    <w:rsid w:val="41A93390"/>
    <w:rsid w:val="424A1576"/>
    <w:rsid w:val="45202F72"/>
    <w:rsid w:val="45C97CBB"/>
    <w:rsid w:val="463D30DA"/>
    <w:rsid w:val="47522D16"/>
    <w:rsid w:val="48316FFA"/>
    <w:rsid w:val="495352F9"/>
    <w:rsid w:val="49985D17"/>
    <w:rsid w:val="4A2E4207"/>
    <w:rsid w:val="4A8177C9"/>
    <w:rsid w:val="4AA13916"/>
    <w:rsid w:val="4AB222FD"/>
    <w:rsid w:val="4B3C5415"/>
    <w:rsid w:val="4DA204A9"/>
    <w:rsid w:val="4E5F3A3A"/>
    <w:rsid w:val="50547FF6"/>
    <w:rsid w:val="52345077"/>
    <w:rsid w:val="5333511E"/>
    <w:rsid w:val="5354423F"/>
    <w:rsid w:val="53A05590"/>
    <w:rsid w:val="53C86CBE"/>
    <w:rsid w:val="53F17BF1"/>
    <w:rsid w:val="54B23FA5"/>
    <w:rsid w:val="55A85DC8"/>
    <w:rsid w:val="58811232"/>
    <w:rsid w:val="59A909AB"/>
    <w:rsid w:val="5BDD4CAF"/>
    <w:rsid w:val="5C991738"/>
    <w:rsid w:val="5D3B4ADA"/>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56758F4"/>
    <w:rsid w:val="782970B4"/>
    <w:rsid w:val="78372170"/>
    <w:rsid w:val="786551D5"/>
    <w:rsid w:val="788A29CD"/>
    <w:rsid w:val="78D3576C"/>
    <w:rsid w:val="7A894395"/>
    <w:rsid w:val="7A993E14"/>
    <w:rsid w:val="7CFF31E0"/>
    <w:rsid w:val="7DB72642"/>
    <w:rsid w:val="7E046E9B"/>
    <w:rsid w:val="7E4E6BE1"/>
    <w:rsid w:val="7E7C52AB"/>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4"/>
    <w:unhideWhenUsed/>
    <w:qFormat/>
    <w:uiPriority w:val="99"/>
    <w:pPr>
      <w:jc w:val="left"/>
    </w:pPr>
  </w:style>
  <w:style w:type="paragraph" w:styleId="3">
    <w:name w:val="Balloon Text"/>
    <w:basedOn w:val="1"/>
    <w:link w:val="23"/>
    <w:unhideWhenUsed/>
    <w:qFormat/>
    <w:uiPriority w:val="99"/>
    <w:rPr>
      <w:sz w:val="18"/>
      <w:szCs w:val="18"/>
    </w:rPr>
  </w:style>
  <w:style w:type="paragraph" w:styleId="4">
    <w:name w:val="footer"/>
    <w:basedOn w:val="1"/>
    <w:link w:val="21"/>
    <w:unhideWhenUsed/>
    <w:qFormat/>
    <w:uiPriority w:val="99"/>
    <w:pPr>
      <w:tabs>
        <w:tab w:val="center" w:pos="4153"/>
        <w:tab w:val="right" w:pos="8306"/>
      </w:tabs>
      <w:snapToGrid w:val="0"/>
      <w:jc w:val="left"/>
    </w:pPr>
    <w:rPr>
      <w:sz w:val="18"/>
      <w:szCs w:val="18"/>
    </w:rPr>
  </w:style>
  <w:style w:type="paragraph" w:styleId="5">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paragraph" w:styleId="8">
    <w:name w:val="annotation subject"/>
    <w:basedOn w:val="2"/>
    <w:next w:val="2"/>
    <w:link w:val="25"/>
    <w:unhideWhenUsed/>
    <w:qFormat/>
    <w:uiPriority w:val="99"/>
    <w:rPr>
      <w:b/>
      <w:bCs/>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basedOn w:val="11"/>
    <w:qFormat/>
    <w:uiPriority w:val="22"/>
    <w:rPr>
      <w:b/>
      <w:bCs/>
    </w:rPr>
  </w:style>
  <w:style w:type="character" w:styleId="13">
    <w:name w:val="FollowedHyperlink"/>
    <w:basedOn w:val="11"/>
    <w:semiHidden/>
    <w:unhideWhenUsed/>
    <w:uiPriority w:val="99"/>
    <w:rPr>
      <w:color w:val="404040"/>
      <w:u w:val="none"/>
    </w:rPr>
  </w:style>
  <w:style w:type="character" w:styleId="14">
    <w:name w:val="HTML Definition"/>
    <w:basedOn w:val="11"/>
    <w:semiHidden/>
    <w:unhideWhenUsed/>
    <w:qFormat/>
    <w:uiPriority w:val="99"/>
    <w:rPr>
      <w:i/>
      <w:iCs/>
    </w:rPr>
  </w:style>
  <w:style w:type="character" w:styleId="15">
    <w:name w:val="Hyperlink"/>
    <w:basedOn w:val="11"/>
    <w:semiHidden/>
    <w:unhideWhenUsed/>
    <w:qFormat/>
    <w:uiPriority w:val="99"/>
    <w:rPr>
      <w:color w:val="404040"/>
      <w:u w:val="none"/>
    </w:rPr>
  </w:style>
  <w:style w:type="character" w:styleId="16">
    <w:name w:val="HTML Code"/>
    <w:basedOn w:val="11"/>
    <w:semiHidden/>
    <w:unhideWhenUsed/>
    <w:qFormat/>
    <w:uiPriority w:val="99"/>
    <w:rPr>
      <w:rFonts w:hint="default" w:ascii="Consolas" w:hAnsi="Consolas" w:eastAsia="Consolas" w:cs="Consolas"/>
      <w:color w:val="C7254E"/>
      <w:sz w:val="21"/>
      <w:szCs w:val="21"/>
      <w:shd w:val="clear" w:color="auto" w:fill="F9F2F4"/>
    </w:rPr>
  </w:style>
  <w:style w:type="character" w:styleId="17">
    <w:name w:val="annotation reference"/>
    <w:basedOn w:val="11"/>
    <w:unhideWhenUsed/>
    <w:qFormat/>
    <w:uiPriority w:val="99"/>
    <w:rPr>
      <w:sz w:val="21"/>
      <w:szCs w:val="21"/>
    </w:rPr>
  </w:style>
  <w:style w:type="character" w:styleId="18">
    <w:name w:val="HTML Keyboard"/>
    <w:basedOn w:val="11"/>
    <w:semiHidden/>
    <w:unhideWhenUsed/>
    <w:qFormat/>
    <w:uiPriority w:val="99"/>
    <w:rPr>
      <w:rFonts w:hint="default" w:ascii="Consolas" w:hAnsi="Consolas" w:eastAsia="Consolas" w:cs="Consolas"/>
      <w:color w:val="FFFFFF"/>
      <w:sz w:val="21"/>
      <w:szCs w:val="21"/>
      <w:shd w:val="clear" w:color="auto" w:fill="333333"/>
    </w:rPr>
  </w:style>
  <w:style w:type="character" w:styleId="19">
    <w:name w:val="HTML Sample"/>
    <w:basedOn w:val="11"/>
    <w:semiHidden/>
    <w:unhideWhenUsed/>
    <w:uiPriority w:val="99"/>
    <w:rPr>
      <w:rFonts w:ascii="Consolas" w:hAnsi="Consolas" w:eastAsia="Consolas" w:cs="Consolas"/>
      <w:sz w:val="21"/>
      <w:szCs w:val="21"/>
    </w:rPr>
  </w:style>
  <w:style w:type="character" w:customStyle="1" w:styleId="20">
    <w:name w:val="页眉 字符"/>
    <w:basedOn w:val="11"/>
    <w:link w:val="5"/>
    <w:qFormat/>
    <w:uiPriority w:val="99"/>
    <w:rPr>
      <w:sz w:val="18"/>
      <w:szCs w:val="18"/>
    </w:rPr>
  </w:style>
  <w:style w:type="character" w:customStyle="1" w:styleId="21">
    <w:name w:val="页脚 字符"/>
    <w:basedOn w:val="11"/>
    <w:link w:val="4"/>
    <w:qFormat/>
    <w:uiPriority w:val="99"/>
    <w:rPr>
      <w:sz w:val="18"/>
      <w:szCs w:val="18"/>
    </w:rPr>
  </w:style>
  <w:style w:type="paragraph" w:customStyle="1" w:styleId="22">
    <w:name w:val="列出段落1"/>
    <w:basedOn w:val="1"/>
    <w:qFormat/>
    <w:uiPriority w:val="34"/>
    <w:pPr>
      <w:ind w:firstLine="420" w:firstLineChars="200"/>
    </w:pPr>
  </w:style>
  <w:style w:type="character" w:customStyle="1" w:styleId="23">
    <w:name w:val="批注框文本 字符"/>
    <w:basedOn w:val="11"/>
    <w:link w:val="3"/>
    <w:semiHidden/>
    <w:qFormat/>
    <w:uiPriority w:val="99"/>
    <w:rPr>
      <w:sz w:val="18"/>
      <w:szCs w:val="18"/>
    </w:rPr>
  </w:style>
  <w:style w:type="character" w:customStyle="1" w:styleId="24">
    <w:name w:val="批注文字 字符"/>
    <w:basedOn w:val="11"/>
    <w:link w:val="2"/>
    <w:semiHidden/>
    <w:qFormat/>
    <w:uiPriority w:val="99"/>
  </w:style>
  <w:style w:type="character" w:customStyle="1" w:styleId="25">
    <w:name w:val="批注主题 字符"/>
    <w:basedOn w:val="24"/>
    <w:link w:val="8"/>
    <w:semiHidden/>
    <w:qFormat/>
    <w:uiPriority w:val="99"/>
    <w:rPr>
      <w:b/>
      <w:bCs/>
    </w:rPr>
  </w:style>
  <w:style w:type="paragraph" w:styleId="26">
    <w:name w:val="List Paragraph"/>
    <w:basedOn w:val="1"/>
    <w:qFormat/>
    <w:uiPriority w:val="34"/>
    <w:pPr>
      <w:ind w:firstLine="420" w:firstLineChars="200"/>
    </w:pPr>
  </w:style>
  <w:style w:type="character" w:customStyle="1" w:styleId="27">
    <w:name w:val="tmpztreemove_arrow"/>
    <w:basedOn w:val="11"/>
    <w:qFormat/>
    <w:uiPriority w:val="0"/>
  </w:style>
  <w:style w:type="character" w:customStyle="1" w:styleId="28">
    <w:name w:val="hover10"/>
    <w:basedOn w:val="11"/>
    <w:uiPriority w:val="0"/>
  </w:style>
  <w:style w:type="character" w:customStyle="1" w:styleId="29">
    <w:name w:val="hover11"/>
    <w:basedOn w:val="11"/>
    <w:qFormat/>
    <w:uiPriority w:val="0"/>
  </w:style>
  <w:style w:type="character" w:customStyle="1" w:styleId="30">
    <w:name w:val="hover12"/>
    <w:basedOn w:val="11"/>
    <w:qFormat/>
    <w:uiPriority w:val="0"/>
  </w:style>
  <w:style w:type="character" w:customStyle="1" w:styleId="31">
    <w:name w:val="hover13"/>
    <w:basedOn w:val="11"/>
    <w:uiPriority w:val="0"/>
    <w:rPr>
      <w:shd w:val="clear" w:color="auto" w:fill="EEEEEE"/>
    </w:rPr>
  </w:style>
  <w:style w:type="character" w:customStyle="1" w:styleId="32">
    <w:name w:val="hour_pm"/>
    <w:basedOn w:val="11"/>
    <w:uiPriority w:val="0"/>
  </w:style>
  <w:style w:type="character" w:customStyle="1" w:styleId="33">
    <w:name w:val="button"/>
    <w:basedOn w:val="11"/>
    <w:uiPriority w:val="0"/>
  </w:style>
  <w:style w:type="character" w:customStyle="1" w:styleId="34">
    <w:name w:val="old"/>
    <w:basedOn w:val="11"/>
    <w:uiPriority w:val="0"/>
    <w:rPr>
      <w:color w:val="999999"/>
    </w:rPr>
  </w:style>
  <w:style w:type="character" w:customStyle="1" w:styleId="35">
    <w:name w:val="hour_am"/>
    <w:basedOn w:val="11"/>
    <w:qFormat/>
    <w:uiPriority w:val="0"/>
  </w:style>
  <w:style w:type="character" w:customStyle="1" w:styleId="36">
    <w:name w:val="glyphicon2"/>
    <w:basedOn w:val="11"/>
    <w:qFormat/>
    <w:uiPriority w:val="0"/>
  </w:style>
  <w:style w:type="character" w:customStyle="1" w:styleId="37">
    <w:name w:val="fa6"/>
    <w:basedOn w:val="11"/>
    <w:qFormat/>
    <w:uiPriority w:val="0"/>
    <w:rPr>
      <w:color w:val="999999"/>
      <w:sz w:val="28"/>
      <w:szCs w:val="28"/>
    </w:rPr>
  </w:style>
  <w:style w:type="character" w:customStyle="1" w:styleId="38">
    <w:name w:val="active11"/>
    <w:basedOn w:val="11"/>
    <w:qFormat/>
    <w:uiPriority w:val="0"/>
    <w:rPr>
      <w:color w:val="FF4D3C"/>
    </w:rPr>
  </w:style>
  <w:style w:type="paragraph" w:customStyle="1" w:styleId="39">
    <w:name w:val="Table Paragraph"/>
    <w:basedOn w:val="1"/>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6308A-EBBF-4C56-80B0-BE9D28797F78}">
  <ds:schemaRefs/>
</ds:datastoreItem>
</file>

<file path=docProps/app.xml><?xml version="1.0" encoding="utf-8"?>
<Properties xmlns="http://schemas.openxmlformats.org/officeDocument/2006/extended-properties" xmlns:vt="http://schemas.openxmlformats.org/officeDocument/2006/docPropsVTypes">
  <Template>Normal</Template>
  <Company>gjs</Company>
  <Pages>1</Pages>
  <Words>1077</Words>
  <Characters>6139</Characters>
  <Lines>51</Lines>
  <Paragraphs>14</Paragraphs>
  <TotalTime>11</TotalTime>
  <ScaleCrop>false</ScaleCrop>
  <LinksUpToDate>false</LinksUpToDate>
  <CharactersWithSpaces>7202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天涯路人1401170449</cp:lastModifiedBy>
  <cp:lastPrinted>2019-06-26T08:25:00Z</cp:lastPrinted>
  <dcterms:modified xsi:type="dcterms:W3CDTF">2021-05-19T00:23:56Z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FA96A4D4B2834B28A7F3E48F58E0BFBC</vt:lpwstr>
  </property>
</Properties>
</file>